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1B397" w14:textId="77777777" w:rsidR="00C10414" w:rsidRDefault="00C10414" w:rsidP="004D043E"/>
    <w:p w14:paraId="00AB8106" w14:textId="77777777" w:rsidR="00EF0E5F" w:rsidRDefault="00EF0E5F" w:rsidP="00867C0F">
      <w:pPr>
        <w:rPr>
          <w:rFonts w:ascii="Arial" w:hAnsi="Arial" w:cs="Arial"/>
        </w:rPr>
      </w:pPr>
    </w:p>
    <w:p w14:paraId="70A26086" w14:textId="4EB4284C" w:rsidR="00EF0E5F" w:rsidRPr="00506338" w:rsidRDefault="00EF0E5F" w:rsidP="00EF0E5F">
      <w:pPr>
        <w:pStyle w:val="Paragrafoelenco1"/>
        <w:spacing w:after="0" w:line="280" w:lineRule="exact"/>
        <w:ind w:left="0" w:right="849"/>
        <w:jc w:val="both"/>
        <w:rPr>
          <w:rFonts w:ascii="Arial" w:hAnsi="Arial" w:cs="Arial"/>
        </w:rPr>
      </w:pPr>
      <w:r w:rsidRPr="00506338">
        <w:rPr>
          <w:rFonts w:ascii="Arial" w:hAnsi="Arial" w:cs="Arial"/>
        </w:rPr>
        <w:t>Roma, 1</w:t>
      </w:r>
      <w:r w:rsidR="00B75CC4">
        <w:rPr>
          <w:rFonts w:ascii="Arial" w:hAnsi="Arial" w:cs="Arial"/>
        </w:rPr>
        <w:t>3</w:t>
      </w:r>
      <w:r w:rsidRPr="00506338">
        <w:rPr>
          <w:rFonts w:ascii="Arial" w:hAnsi="Arial" w:cs="Arial"/>
        </w:rPr>
        <w:t xml:space="preserve"> maggio 2020</w:t>
      </w:r>
    </w:p>
    <w:p w14:paraId="205DE320" w14:textId="77777777" w:rsidR="00EF0E5F" w:rsidRDefault="00EF0E5F" w:rsidP="00867C0F">
      <w:pPr>
        <w:rPr>
          <w:rFonts w:ascii="Arial" w:hAnsi="Arial" w:cs="Arial"/>
        </w:rPr>
      </w:pPr>
    </w:p>
    <w:p w14:paraId="025F2B7D" w14:textId="18141D79" w:rsidR="002C6D5B" w:rsidRPr="002C6D5B" w:rsidRDefault="002C6D5B" w:rsidP="00867C0F">
      <w:pPr>
        <w:rPr>
          <w:rFonts w:ascii="Arial" w:hAnsi="Arial" w:cs="Arial"/>
          <w:b/>
        </w:rPr>
      </w:pPr>
      <w:r w:rsidRPr="002C6D5B">
        <w:rPr>
          <w:rFonts w:ascii="Arial" w:hAnsi="Arial" w:cs="Arial"/>
          <w:b/>
        </w:rPr>
        <w:t>COMUNICATO STAMPA</w:t>
      </w:r>
    </w:p>
    <w:p w14:paraId="17E21DB3" w14:textId="77777777" w:rsidR="00867C0F" w:rsidRPr="002C6D5B" w:rsidRDefault="00867C0F" w:rsidP="00867C0F">
      <w:pPr>
        <w:rPr>
          <w:rFonts w:ascii="Arial" w:hAnsi="Arial" w:cs="Arial"/>
          <w:b/>
        </w:rPr>
      </w:pPr>
      <w:r w:rsidRPr="002C6D5B">
        <w:rPr>
          <w:rFonts w:ascii="Arial" w:hAnsi="Arial" w:cs="Arial"/>
          <w:b/>
        </w:rPr>
        <w:t>ATTIVITA’ DI INFORMAZIONE MEDICO SCIENTIFICA: PRIORITA’ E PROSPETTIVE PER LA RIPRESA DALL’EMERGENZA COVID 19</w:t>
      </w:r>
    </w:p>
    <w:p w14:paraId="589A13FF" w14:textId="77777777" w:rsidR="00867C0F" w:rsidRPr="00867C0F" w:rsidRDefault="00867C0F" w:rsidP="00867C0F">
      <w:pPr>
        <w:pStyle w:val="Paragrafoelenco1"/>
        <w:spacing w:after="0" w:line="280" w:lineRule="exact"/>
        <w:rPr>
          <w:rFonts w:ascii="Arial" w:hAnsi="Arial" w:cs="Arial"/>
        </w:rPr>
      </w:pPr>
    </w:p>
    <w:p w14:paraId="29FE11C7" w14:textId="77777777"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 xml:space="preserve">Farmindustria e le Organizzazioni Sindacali </w:t>
      </w:r>
      <w:proofErr w:type="spellStart"/>
      <w:r w:rsidRPr="00867C0F">
        <w:rPr>
          <w:rFonts w:ascii="Arial" w:hAnsi="Arial" w:cs="Arial"/>
        </w:rPr>
        <w:t>Filctem</w:t>
      </w:r>
      <w:proofErr w:type="spellEnd"/>
      <w:r w:rsidRPr="00867C0F">
        <w:rPr>
          <w:rFonts w:ascii="Arial" w:hAnsi="Arial" w:cs="Arial"/>
        </w:rPr>
        <w:t xml:space="preserve"> – Cgil, </w:t>
      </w:r>
      <w:proofErr w:type="spellStart"/>
      <w:r w:rsidRPr="00867C0F">
        <w:rPr>
          <w:rFonts w:ascii="Arial" w:hAnsi="Arial" w:cs="Arial"/>
        </w:rPr>
        <w:t>Femca</w:t>
      </w:r>
      <w:proofErr w:type="spellEnd"/>
      <w:r w:rsidRPr="00867C0F">
        <w:rPr>
          <w:rFonts w:ascii="Arial" w:hAnsi="Arial" w:cs="Arial"/>
        </w:rPr>
        <w:t xml:space="preserve"> – Cisl, </w:t>
      </w:r>
      <w:proofErr w:type="spellStart"/>
      <w:r w:rsidRPr="00867C0F">
        <w:rPr>
          <w:rFonts w:ascii="Arial" w:hAnsi="Arial" w:cs="Arial"/>
        </w:rPr>
        <w:t>Uiltec</w:t>
      </w:r>
      <w:proofErr w:type="spellEnd"/>
      <w:r w:rsidRPr="00867C0F">
        <w:rPr>
          <w:rFonts w:ascii="Arial" w:hAnsi="Arial" w:cs="Arial"/>
        </w:rPr>
        <w:t xml:space="preserve"> – Uil si sono confrontate in merito allo svolgimento dell’attività d’informazione medico-scientifica nell’attuale contesto di emergenza COVID-19.</w:t>
      </w:r>
    </w:p>
    <w:p w14:paraId="12FCC79A" w14:textId="77777777" w:rsidR="00867C0F" w:rsidRPr="00867C0F" w:rsidRDefault="00867C0F" w:rsidP="00867C0F">
      <w:pPr>
        <w:spacing w:after="0" w:line="280" w:lineRule="exact"/>
        <w:ind w:left="142" w:right="849"/>
        <w:jc w:val="both"/>
        <w:rPr>
          <w:rFonts w:ascii="Arial" w:hAnsi="Arial" w:cs="Arial"/>
        </w:rPr>
      </w:pPr>
    </w:p>
    <w:p w14:paraId="06821D4A" w14:textId="77777777"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 xml:space="preserve">Le parti hanno condiviso che l’informazione medico scientifica, coerentemente con il diritto/dovere di informazione che spetta alle imprese farmaceutiche, riveste un ruolo fondamentale per tutti gli operatori sanitari e per la salute della popolazione, oltre che per l’occupazione </w:t>
      </w:r>
      <w:r w:rsidRPr="00867C0F">
        <w:rPr>
          <w:rFonts w:ascii="Arial" w:eastAsia="Times New Roman" w:hAnsi="Arial" w:cs="Arial"/>
        </w:rPr>
        <w:t>di elevata qualità, che unisce competenze tecniche e relazionali.</w:t>
      </w:r>
    </w:p>
    <w:p w14:paraId="48AA5827" w14:textId="77777777" w:rsidR="00867C0F" w:rsidRPr="00867C0F" w:rsidRDefault="00867C0F" w:rsidP="00867C0F">
      <w:pPr>
        <w:spacing w:after="0" w:line="280" w:lineRule="exact"/>
        <w:ind w:left="142" w:right="849"/>
        <w:jc w:val="both"/>
        <w:rPr>
          <w:rFonts w:ascii="Arial" w:hAnsi="Arial" w:cs="Arial"/>
        </w:rPr>
      </w:pPr>
    </w:p>
    <w:p w14:paraId="4A04B9D1" w14:textId="507AACF0"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 xml:space="preserve">Nell’attuale contesto emergenziale le imprese del farmaco stanno garantendo la continuità dell’informazione scientifica adottando modalità di confronto da remoto secondo </w:t>
      </w:r>
      <w:r w:rsidR="00506338" w:rsidRPr="00506338">
        <w:rPr>
          <w:rFonts w:ascii="Arial" w:hAnsi="Arial" w:cs="Arial"/>
        </w:rPr>
        <w:t>le</w:t>
      </w:r>
      <w:r w:rsidRPr="00867C0F">
        <w:rPr>
          <w:rFonts w:ascii="Arial" w:hAnsi="Arial" w:cs="Arial"/>
        </w:rPr>
        <w:t xml:space="preserve"> disposizioni impartite dalle autorità istituzionali di livello nazionale e locale.</w:t>
      </w:r>
    </w:p>
    <w:p w14:paraId="3259651D" w14:textId="77777777" w:rsidR="00867C0F" w:rsidRPr="00867C0F" w:rsidRDefault="00867C0F" w:rsidP="00867C0F">
      <w:pPr>
        <w:spacing w:after="0" w:line="280" w:lineRule="exact"/>
        <w:ind w:left="142" w:right="849"/>
        <w:jc w:val="both"/>
        <w:rPr>
          <w:rFonts w:ascii="Arial" w:hAnsi="Arial" w:cs="Arial"/>
        </w:rPr>
      </w:pPr>
    </w:p>
    <w:p w14:paraId="2A88C960" w14:textId="77777777"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 xml:space="preserve">Modalità di lavoro che, anche se in questo momento storico risulta il principale canale di interfaccia con gli operatori sanitari, le Parti condividono non porsi in alternativa all’attività di informazione scientifica diretta, quanto piuttosto </w:t>
      </w:r>
      <w:r w:rsidRPr="00506338">
        <w:rPr>
          <w:rFonts w:ascii="Arial" w:hAnsi="Arial" w:cs="Arial"/>
        </w:rPr>
        <w:t xml:space="preserve">come eventuale </w:t>
      </w:r>
      <w:r w:rsidRPr="00867C0F">
        <w:rPr>
          <w:rFonts w:ascii="Arial" w:hAnsi="Arial" w:cs="Arial"/>
        </w:rPr>
        <w:t>strumento complementare e quindi integrativo della stessa.</w:t>
      </w:r>
    </w:p>
    <w:p w14:paraId="5CA2386C" w14:textId="77777777" w:rsidR="00867C0F" w:rsidRPr="00867C0F" w:rsidRDefault="00867C0F" w:rsidP="00867C0F">
      <w:pPr>
        <w:spacing w:after="0" w:line="280" w:lineRule="exact"/>
        <w:ind w:left="142" w:right="849"/>
        <w:jc w:val="both"/>
        <w:rPr>
          <w:rFonts w:ascii="Arial" w:hAnsi="Arial" w:cs="Arial"/>
        </w:rPr>
      </w:pPr>
    </w:p>
    <w:p w14:paraId="565B6B30" w14:textId="14DBDC22"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In vista di una quanto più prossima ripresa delle attività di informazione scientifica diretta, si registrano, inoltre, provvedimenti non coordinati a livello locale sia sotto il profilo delle modalità di svolgimento dell’attività e sia riguardo alle indicazioni temporali, per un ritorno sicuro e graduale alla normalità.</w:t>
      </w:r>
    </w:p>
    <w:p w14:paraId="0C2BF61E" w14:textId="77777777" w:rsidR="00867C0F" w:rsidRPr="00867C0F" w:rsidRDefault="00867C0F" w:rsidP="00867C0F">
      <w:pPr>
        <w:spacing w:after="0" w:line="280" w:lineRule="exact"/>
        <w:ind w:left="142" w:right="849"/>
        <w:jc w:val="both"/>
        <w:rPr>
          <w:rFonts w:ascii="Arial" w:hAnsi="Arial" w:cs="Arial"/>
        </w:rPr>
      </w:pPr>
    </w:p>
    <w:p w14:paraId="0D8DA309" w14:textId="77777777" w:rsidR="00867C0F" w:rsidRPr="00867C0F" w:rsidRDefault="00867C0F" w:rsidP="00867C0F">
      <w:pPr>
        <w:spacing w:after="0" w:line="280" w:lineRule="exact"/>
        <w:ind w:left="142" w:right="849"/>
        <w:jc w:val="both"/>
        <w:rPr>
          <w:rFonts w:ascii="Arial" w:hAnsi="Arial" w:cs="Arial"/>
        </w:rPr>
      </w:pPr>
      <w:r w:rsidRPr="00867C0F">
        <w:rPr>
          <w:rFonts w:ascii="Arial" w:hAnsi="Arial" w:cs="Arial"/>
        </w:rPr>
        <w:t xml:space="preserve">Pertanto, le Parti, avviando un percorso di confronto continuo per monitorare gli sviluppi sul tema </w:t>
      </w:r>
      <w:r w:rsidRPr="00506338">
        <w:rPr>
          <w:rFonts w:ascii="Arial" w:hAnsi="Arial" w:cs="Arial"/>
        </w:rPr>
        <w:t xml:space="preserve">sollecitano anche attraverso incontri dedicati, </w:t>
      </w:r>
      <w:r w:rsidRPr="00867C0F">
        <w:rPr>
          <w:rFonts w:ascii="Arial" w:hAnsi="Arial" w:cs="Arial"/>
        </w:rPr>
        <w:t>che Governo ed Enti Locali</w:t>
      </w:r>
      <w:r w:rsidRPr="00867C0F">
        <w:rPr>
          <w:rFonts w:ascii="Arial" w:hAnsi="Arial" w:cs="Arial"/>
          <w:color w:val="FF0000"/>
        </w:rPr>
        <w:t xml:space="preserve"> </w:t>
      </w:r>
      <w:r w:rsidRPr="00867C0F">
        <w:rPr>
          <w:rFonts w:ascii="Arial" w:hAnsi="Arial" w:cs="Arial"/>
        </w:rPr>
        <w:t>possano:</w:t>
      </w:r>
    </w:p>
    <w:p w14:paraId="0DB44459" w14:textId="77777777" w:rsidR="00867C0F" w:rsidRPr="00867C0F" w:rsidRDefault="00867C0F" w:rsidP="00867C0F">
      <w:pPr>
        <w:spacing w:after="0" w:line="280" w:lineRule="exact"/>
        <w:ind w:left="142" w:right="849"/>
        <w:jc w:val="both"/>
        <w:rPr>
          <w:rFonts w:ascii="Arial" w:hAnsi="Arial" w:cs="Arial"/>
        </w:rPr>
      </w:pPr>
    </w:p>
    <w:p w14:paraId="67160FF6" w14:textId="02712DE6" w:rsidR="00867C0F" w:rsidRPr="00867C0F" w:rsidRDefault="00867C0F" w:rsidP="00D8130A">
      <w:pPr>
        <w:pStyle w:val="Paragrafoelenco1"/>
        <w:numPr>
          <w:ilvl w:val="0"/>
          <w:numId w:val="4"/>
        </w:numPr>
        <w:spacing w:after="0" w:line="280" w:lineRule="exact"/>
        <w:ind w:left="720" w:right="849" w:firstLine="0"/>
        <w:jc w:val="both"/>
        <w:rPr>
          <w:rFonts w:ascii="Arial" w:hAnsi="Arial" w:cs="Arial"/>
        </w:rPr>
      </w:pPr>
      <w:r w:rsidRPr="00506338">
        <w:rPr>
          <w:rFonts w:ascii="Arial" w:hAnsi="Arial" w:cs="Arial"/>
        </w:rPr>
        <w:t>garantire, specie nella fase emergenziale</w:t>
      </w:r>
      <w:r w:rsidRPr="00506338">
        <w:rPr>
          <w:rFonts w:ascii="Arial" w:hAnsi="Arial" w:cs="Arial"/>
          <w:color w:val="CC0000"/>
        </w:rPr>
        <w:t>,</w:t>
      </w:r>
      <w:r w:rsidRPr="00506338">
        <w:rPr>
          <w:rFonts w:ascii="Arial" w:hAnsi="Arial" w:cs="Arial"/>
        </w:rPr>
        <w:t xml:space="preserve"> approcci omogenei nei contesti regionali, per facilitare lo svolgimento da remoto dell’attività di informazione medico scientifica</w:t>
      </w:r>
      <w:r w:rsidR="00506338">
        <w:rPr>
          <w:rFonts w:ascii="Arial" w:hAnsi="Arial" w:cs="Arial"/>
        </w:rPr>
        <w:t>;</w:t>
      </w:r>
      <w:r w:rsidRPr="00506338">
        <w:rPr>
          <w:rFonts w:ascii="Arial" w:hAnsi="Arial" w:cs="Arial"/>
        </w:rPr>
        <w:t xml:space="preserve"> </w:t>
      </w:r>
    </w:p>
    <w:p w14:paraId="546F47F4" w14:textId="77777777" w:rsidR="00867C0F" w:rsidRPr="00867C0F" w:rsidRDefault="00867C0F" w:rsidP="00867C0F">
      <w:pPr>
        <w:pStyle w:val="Paragrafoelenco1"/>
        <w:numPr>
          <w:ilvl w:val="0"/>
          <w:numId w:val="4"/>
        </w:numPr>
        <w:spacing w:after="0" w:line="280" w:lineRule="exact"/>
        <w:ind w:left="720" w:right="849" w:firstLine="0"/>
        <w:jc w:val="both"/>
        <w:rPr>
          <w:rFonts w:ascii="Arial" w:hAnsi="Arial" w:cs="Arial"/>
        </w:rPr>
      </w:pPr>
      <w:r w:rsidRPr="00867C0F">
        <w:rPr>
          <w:rFonts w:ascii="Arial" w:hAnsi="Arial" w:cs="Arial"/>
        </w:rPr>
        <w:t>avere un quadro possibilmente uniforme o comunque ben definito, sulla base di parametri scientifici, della ripresa delle attività di informazione medico scientifica diretta;</w:t>
      </w:r>
    </w:p>
    <w:p w14:paraId="4C283195" w14:textId="77777777" w:rsidR="00867C0F" w:rsidRPr="00867C0F" w:rsidRDefault="00867C0F" w:rsidP="00867C0F">
      <w:pPr>
        <w:spacing w:after="0" w:line="280" w:lineRule="exact"/>
        <w:ind w:right="849"/>
        <w:jc w:val="both"/>
        <w:rPr>
          <w:rFonts w:ascii="Arial" w:hAnsi="Arial" w:cs="Arial"/>
        </w:rPr>
      </w:pPr>
    </w:p>
    <w:p w14:paraId="3859D722" w14:textId="17D4D8B5" w:rsidR="00867C0F" w:rsidRPr="002C6D5B" w:rsidRDefault="00867C0F" w:rsidP="00F67149">
      <w:pPr>
        <w:pStyle w:val="Paragrafoelenco1"/>
        <w:numPr>
          <w:ilvl w:val="0"/>
          <w:numId w:val="4"/>
        </w:numPr>
        <w:spacing w:after="0" w:line="280" w:lineRule="exact"/>
        <w:ind w:left="720" w:right="849" w:firstLine="0"/>
        <w:jc w:val="both"/>
        <w:rPr>
          <w:rFonts w:ascii="Arial" w:hAnsi="Arial" w:cs="Arial"/>
        </w:rPr>
      </w:pPr>
      <w:r w:rsidRPr="002C6D5B">
        <w:rPr>
          <w:rFonts w:ascii="Arial" w:hAnsi="Arial" w:cs="Arial"/>
        </w:rPr>
        <w:t>definire, in maniera uniforme, le misure a carattere temporaneo di prevenzione e per lo svolgimento dell’attività diretta, quali condizioni per la massima tutela e sicurezza dei lavoratori, medici e pazienti.</w:t>
      </w:r>
    </w:p>
    <w:p w14:paraId="2C5B1628" w14:textId="6ED90D5A" w:rsidR="008A4C00" w:rsidRPr="00867C0F" w:rsidRDefault="008A4C00" w:rsidP="00867C0F">
      <w:pPr>
        <w:rPr>
          <w:rFonts w:ascii="Arial" w:hAnsi="Arial" w:cs="Arial"/>
        </w:rPr>
      </w:pPr>
    </w:p>
    <w:sectPr w:rsidR="008A4C00" w:rsidRPr="00867C0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6180" w14:textId="77777777" w:rsidR="00961C12" w:rsidRDefault="00961C12" w:rsidP="00C10414">
      <w:pPr>
        <w:spacing w:after="0" w:line="240" w:lineRule="auto"/>
      </w:pPr>
      <w:r>
        <w:separator/>
      </w:r>
    </w:p>
  </w:endnote>
  <w:endnote w:type="continuationSeparator" w:id="0">
    <w:p w14:paraId="660EAE16" w14:textId="77777777" w:rsidR="00961C12" w:rsidRDefault="00961C12" w:rsidP="00C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911DB" w14:textId="77777777" w:rsidR="00961C12" w:rsidRDefault="00961C12" w:rsidP="00C10414">
      <w:pPr>
        <w:spacing w:after="0" w:line="240" w:lineRule="auto"/>
      </w:pPr>
      <w:r>
        <w:separator/>
      </w:r>
    </w:p>
  </w:footnote>
  <w:footnote w:type="continuationSeparator" w:id="0">
    <w:p w14:paraId="0960E9C0" w14:textId="77777777" w:rsidR="00961C12" w:rsidRDefault="00961C12" w:rsidP="00C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638D" w14:textId="43B03CB0" w:rsidR="00C10414" w:rsidRDefault="00506338">
    <w:pPr>
      <w:pStyle w:val="Intestazione"/>
    </w:pPr>
    <w:r>
      <w:rPr>
        <w:noProof/>
        <w:lang w:eastAsia="it-IT"/>
      </w:rPr>
      <w:drawing>
        <wp:anchor distT="0" distB="0" distL="114300" distR="114300" simplePos="0" relativeHeight="251666432" behindDoc="0" locked="0" layoutInCell="1" allowOverlap="1" wp14:anchorId="008699EB" wp14:editId="7AE57112">
          <wp:simplePos x="0" y="0"/>
          <wp:positionH relativeFrom="margin">
            <wp:posOffset>4766310</wp:posOffset>
          </wp:positionH>
          <wp:positionV relativeFrom="margin">
            <wp:posOffset>-885825</wp:posOffset>
          </wp:positionV>
          <wp:extent cx="1162050" cy="716280"/>
          <wp:effectExtent l="0" t="0" r="0"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16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46CB7522" wp14:editId="2673B123">
          <wp:simplePos x="0" y="0"/>
          <wp:positionH relativeFrom="margin">
            <wp:posOffset>3326130</wp:posOffset>
          </wp:positionH>
          <wp:positionV relativeFrom="margin">
            <wp:posOffset>-986790</wp:posOffset>
          </wp:positionV>
          <wp:extent cx="1061085" cy="838200"/>
          <wp:effectExtent l="0" t="0" r="571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4144" behindDoc="1" locked="0" layoutInCell="1" allowOverlap="1" wp14:anchorId="3FCB27C6" wp14:editId="2A94793A">
          <wp:simplePos x="0" y="0"/>
          <wp:positionH relativeFrom="column">
            <wp:posOffset>1939290</wp:posOffset>
          </wp:positionH>
          <wp:positionV relativeFrom="paragraph">
            <wp:posOffset>-205740</wp:posOffset>
          </wp:positionV>
          <wp:extent cx="784225" cy="888365"/>
          <wp:effectExtent l="0" t="0" r="0" b="6985"/>
          <wp:wrapTight wrapText="bothSides">
            <wp:wrapPolygon edited="0">
              <wp:start x="0" y="0"/>
              <wp:lineTo x="0" y="21307"/>
              <wp:lineTo x="20988" y="21307"/>
              <wp:lineTo x="2098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225" cy="888365"/>
                  </a:xfrm>
                  <a:prstGeom prst="rect">
                    <a:avLst/>
                  </a:prstGeom>
                  <a:noFill/>
                </pic:spPr>
              </pic:pic>
            </a:graphicData>
          </a:graphic>
        </wp:anchor>
      </w:drawing>
    </w:r>
    <w:r w:rsidR="00C10414">
      <w:rPr>
        <w:noProof/>
        <w:lang w:eastAsia="it-IT"/>
      </w:rPr>
      <w:drawing>
        <wp:inline distT="0" distB="0" distL="0" distR="0" wp14:anchorId="05738BBF" wp14:editId="0F88D4CC">
          <wp:extent cx="1533525" cy="466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rmindustria.jpg"/>
                  <pic:cNvPicPr/>
                </pic:nvPicPr>
                <pic:blipFill>
                  <a:blip r:embed="rId4">
                    <a:extLst>
                      <a:ext uri="{28A0092B-C50C-407E-A947-70E740481C1C}">
                        <a14:useLocalDpi xmlns:a14="http://schemas.microsoft.com/office/drawing/2010/main" val="0"/>
                      </a:ext>
                    </a:extLst>
                  </a:blip>
                  <a:stretch>
                    <a:fillRect/>
                  </a:stretch>
                </pic:blipFill>
                <pic:spPr>
                  <a:xfrm>
                    <a:off x="0" y="0"/>
                    <a:ext cx="1533525" cy="466725"/>
                  </a:xfrm>
                  <a:prstGeom prst="rect">
                    <a:avLst/>
                  </a:prstGeom>
                </pic:spPr>
              </pic:pic>
            </a:graphicData>
          </a:graphic>
        </wp:inline>
      </w:drawing>
    </w:r>
    <w:r w:rsidR="00DF2C62">
      <w:tab/>
    </w:r>
    <w:r w:rsidR="00DF2C62">
      <w:tab/>
    </w:r>
  </w:p>
  <w:p w14:paraId="71815372" w14:textId="096B2338" w:rsidR="00867C0F" w:rsidRDefault="00867C0F">
    <w:pPr>
      <w:pStyle w:val="Intestazione"/>
    </w:pPr>
  </w:p>
  <w:p w14:paraId="6E32D6E9" w14:textId="77777777" w:rsidR="00867C0F" w:rsidRDefault="00867C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 w15:restartNumberingAfterBreak="0">
    <w:nsid w:val="0AEE01A7"/>
    <w:multiLevelType w:val="hybridMultilevel"/>
    <w:tmpl w:val="27068F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F2178C"/>
    <w:multiLevelType w:val="hybridMultilevel"/>
    <w:tmpl w:val="1722E332"/>
    <w:lvl w:ilvl="0" w:tplc="04100001">
      <w:start w:val="1"/>
      <w:numFmt w:val="bullet"/>
      <w:lvlText w:val=""/>
      <w:lvlJc w:val="left"/>
      <w:pPr>
        <w:ind w:left="502" w:hanging="360"/>
      </w:pPr>
      <w:rPr>
        <w:rFonts w:ascii="Symbol" w:hAnsi="Symbol" w:cs="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cs="Wingdings" w:hint="default"/>
      </w:rPr>
    </w:lvl>
    <w:lvl w:ilvl="3" w:tplc="04100001" w:tentative="1">
      <w:start w:val="1"/>
      <w:numFmt w:val="bullet"/>
      <w:lvlText w:val=""/>
      <w:lvlJc w:val="left"/>
      <w:pPr>
        <w:ind w:left="2662" w:hanging="360"/>
      </w:pPr>
      <w:rPr>
        <w:rFonts w:ascii="Symbol" w:hAnsi="Symbol" w:cs="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cs="Wingdings" w:hint="default"/>
      </w:rPr>
    </w:lvl>
    <w:lvl w:ilvl="6" w:tplc="04100001" w:tentative="1">
      <w:start w:val="1"/>
      <w:numFmt w:val="bullet"/>
      <w:lvlText w:val=""/>
      <w:lvlJc w:val="left"/>
      <w:pPr>
        <w:ind w:left="4822" w:hanging="360"/>
      </w:pPr>
      <w:rPr>
        <w:rFonts w:ascii="Symbol" w:hAnsi="Symbol" w:cs="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6C1F1D5B"/>
    <w:multiLevelType w:val="hybridMultilevel"/>
    <w:tmpl w:val="8A78C0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09"/>
    <w:rsid w:val="000927F9"/>
    <w:rsid w:val="00101ED5"/>
    <w:rsid w:val="0011272D"/>
    <w:rsid w:val="00184A15"/>
    <w:rsid w:val="002245FF"/>
    <w:rsid w:val="002C6D5B"/>
    <w:rsid w:val="00362528"/>
    <w:rsid w:val="003C6714"/>
    <w:rsid w:val="004D043E"/>
    <w:rsid w:val="004D6FDE"/>
    <w:rsid w:val="00506338"/>
    <w:rsid w:val="00517659"/>
    <w:rsid w:val="00525AB1"/>
    <w:rsid w:val="005328C8"/>
    <w:rsid w:val="00543BDF"/>
    <w:rsid w:val="005975E9"/>
    <w:rsid w:val="005C52EE"/>
    <w:rsid w:val="005F1BF7"/>
    <w:rsid w:val="00702C43"/>
    <w:rsid w:val="00740016"/>
    <w:rsid w:val="007604E2"/>
    <w:rsid w:val="00867C0F"/>
    <w:rsid w:val="008A4C00"/>
    <w:rsid w:val="008B6C2D"/>
    <w:rsid w:val="008D0D12"/>
    <w:rsid w:val="00934E09"/>
    <w:rsid w:val="00961C12"/>
    <w:rsid w:val="009907F5"/>
    <w:rsid w:val="00B75CC4"/>
    <w:rsid w:val="00BA6D89"/>
    <w:rsid w:val="00C10414"/>
    <w:rsid w:val="00D031EF"/>
    <w:rsid w:val="00DE5ED0"/>
    <w:rsid w:val="00DF2C62"/>
    <w:rsid w:val="00E425B6"/>
    <w:rsid w:val="00E67811"/>
    <w:rsid w:val="00EF0E5F"/>
    <w:rsid w:val="00F30ABE"/>
    <w:rsid w:val="00FD3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F406"/>
  <w15:docId w15:val="{E7C69D25-CF7C-416B-9D5E-92B3B745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C0F"/>
    <w:pPr>
      <w:suppressAutoHyphens/>
      <w:spacing w:line="256"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E09"/>
    <w:pPr>
      <w:ind w:left="720"/>
      <w:contextualSpacing/>
    </w:pPr>
  </w:style>
  <w:style w:type="character" w:styleId="Collegamentoipertestuale">
    <w:name w:val="Hyperlink"/>
    <w:basedOn w:val="Carpredefinitoparagrafo"/>
    <w:uiPriority w:val="99"/>
    <w:unhideWhenUsed/>
    <w:rsid w:val="00BA6D89"/>
    <w:rPr>
      <w:color w:val="0563C1" w:themeColor="hyperlink"/>
      <w:u w:val="single"/>
    </w:rPr>
  </w:style>
  <w:style w:type="character" w:customStyle="1" w:styleId="Menzionenonrisolta1">
    <w:name w:val="Menzione non risolta1"/>
    <w:basedOn w:val="Carpredefinitoparagrafo"/>
    <w:uiPriority w:val="99"/>
    <w:semiHidden/>
    <w:unhideWhenUsed/>
    <w:rsid w:val="00BA6D89"/>
    <w:rPr>
      <w:color w:val="605E5C"/>
      <w:shd w:val="clear" w:color="auto" w:fill="E1DFDD"/>
    </w:rPr>
  </w:style>
  <w:style w:type="paragraph" w:styleId="Intestazione">
    <w:name w:val="header"/>
    <w:basedOn w:val="Normale"/>
    <w:link w:val="IntestazioneCarattere"/>
    <w:uiPriority w:val="99"/>
    <w:unhideWhenUsed/>
    <w:rsid w:val="00C104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414"/>
  </w:style>
  <w:style w:type="paragraph" w:styleId="Pidipagina">
    <w:name w:val="footer"/>
    <w:basedOn w:val="Normale"/>
    <w:link w:val="PidipaginaCarattere"/>
    <w:uiPriority w:val="99"/>
    <w:unhideWhenUsed/>
    <w:rsid w:val="00C104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414"/>
  </w:style>
  <w:style w:type="paragraph" w:styleId="Testofumetto">
    <w:name w:val="Balloon Text"/>
    <w:basedOn w:val="Normale"/>
    <w:link w:val="TestofumettoCarattere"/>
    <w:uiPriority w:val="99"/>
    <w:semiHidden/>
    <w:unhideWhenUsed/>
    <w:rsid w:val="00C10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0414"/>
    <w:rPr>
      <w:rFonts w:ascii="Tahoma" w:hAnsi="Tahoma" w:cs="Tahoma"/>
      <w:sz w:val="16"/>
      <w:szCs w:val="16"/>
    </w:rPr>
  </w:style>
  <w:style w:type="paragraph" w:customStyle="1" w:styleId="Paragrafoelenco1">
    <w:name w:val="Paragrafo elenco1"/>
    <w:basedOn w:val="Normale"/>
    <w:rsid w:val="00867C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823764">
      <w:bodyDiv w:val="1"/>
      <w:marLeft w:val="0"/>
      <w:marRight w:val="0"/>
      <w:marTop w:val="0"/>
      <w:marBottom w:val="0"/>
      <w:divBdr>
        <w:top w:val="none" w:sz="0" w:space="0" w:color="auto"/>
        <w:left w:val="none" w:sz="0" w:space="0" w:color="auto"/>
        <w:bottom w:val="none" w:sz="0" w:space="0" w:color="auto"/>
        <w:right w:val="none" w:sz="0" w:space="0" w:color="auto"/>
      </w:divBdr>
    </w:div>
    <w:div w:id="16737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D'Erario Nicola</dc:creator>
  <cp:lastModifiedBy>Morelli Antonio</cp:lastModifiedBy>
  <cp:revision>4</cp:revision>
  <cp:lastPrinted>2020-05-12T08:43:00Z</cp:lastPrinted>
  <dcterms:created xsi:type="dcterms:W3CDTF">2020-05-13T09:16:00Z</dcterms:created>
  <dcterms:modified xsi:type="dcterms:W3CDTF">2020-05-13T09:26:00Z</dcterms:modified>
</cp:coreProperties>
</file>