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27DA" w14:textId="77777777" w:rsidR="002F6C2F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Roma, 16 dicembre 2019</w:t>
      </w:r>
    </w:p>
    <w:p w14:paraId="7DAFD605" w14:textId="77777777" w:rsidR="002F6C2F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5DB27986" w14:textId="77777777" w:rsidR="002F6C2F" w:rsidRPr="002F6C2F" w:rsidRDefault="002F6C2F" w:rsidP="002F6C2F">
      <w:pPr>
        <w:spacing w:line="280" w:lineRule="exact"/>
        <w:jc w:val="both"/>
        <w:rPr>
          <w:rFonts w:ascii="Georgia" w:hAnsi="Georgia"/>
          <w:b/>
          <w:smallCaps/>
          <w:sz w:val="22"/>
          <w:szCs w:val="22"/>
        </w:rPr>
      </w:pPr>
      <w:r w:rsidRPr="002F6C2F">
        <w:rPr>
          <w:rFonts w:ascii="Georgia" w:hAnsi="Georgia"/>
          <w:b/>
          <w:smallCaps/>
          <w:sz w:val="22"/>
          <w:szCs w:val="22"/>
        </w:rPr>
        <w:t>Comunicato Stampa</w:t>
      </w:r>
    </w:p>
    <w:p w14:paraId="22ECDF53" w14:textId="77777777" w:rsidR="002F6C2F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375351A8" w14:textId="6C960864" w:rsidR="00712C48" w:rsidRDefault="00712C48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 queste ore l’Aula del Senato sta votando il maxi emendamento del Governo alla Legge di Bilancio che non risolve il problema della rimodulazione dei tetti della spesa farmaceutica pubblica,</w:t>
      </w:r>
      <w:r w:rsidRPr="00712C48">
        <w:rPr>
          <w:rFonts w:ascii="Georgia" w:hAnsi="Georgia"/>
          <w:sz w:val="22"/>
          <w:szCs w:val="22"/>
        </w:rPr>
        <w:t xml:space="preserve"> che fissano da anni gli stanziamenti per la spesa </w:t>
      </w:r>
      <w:r w:rsidR="00405DE0" w:rsidRPr="00712C48">
        <w:rPr>
          <w:rFonts w:ascii="Georgia" w:hAnsi="Georgia"/>
          <w:sz w:val="22"/>
          <w:szCs w:val="22"/>
        </w:rPr>
        <w:t xml:space="preserve">in ospedale </w:t>
      </w:r>
      <w:r w:rsidR="00405DE0">
        <w:rPr>
          <w:rFonts w:ascii="Georgia" w:hAnsi="Georgia"/>
          <w:sz w:val="22"/>
          <w:szCs w:val="22"/>
        </w:rPr>
        <w:t>e in</w:t>
      </w:r>
      <w:r w:rsidRPr="00712C48">
        <w:rPr>
          <w:rFonts w:ascii="Georgia" w:hAnsi="Georgia"/>
          <w:sz w:val="22"/>
          <w:szCs w:val="22"/>
        </w:rPr>
        <w:t xml:space="preserve"> </w:t>
      </w:r>
      <w:r w:rsidR="00405DE0">
        <w:rPr>
          <w:rFonts w:ascii="Georgia" w:hAnsi="Georgia"/>
          <w:sz w:val="22"/>
          <w:szCs w:val="22"/>
        </w:rPr>
        <w:t>farmacia</w:t>
      </w:r>
      <w:r w:rsidRPr="00712C48">
        <w:rPr>
          <w:rFonts w:ascii="Georgia" w:hAnsi="Georgia"/>
          <w:sz w:val="22"/>
          <w:szCs w:val="22"/>
        </w:rPr>
        <w:t>.</w:t>
      </w:r>
    </w:p>
    <w:p w14:paraId="127072C0" w14:textId="77777777" w:rsidR="00712C48" w:rsidRDefault="00712C48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5FA0376C" w14:textId="072CF2C0" w:rsidR="002F6C2F" w:rsidRPr="00712C48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 xml:space="preserve">Farmindustria considera positivamente l’incremento delle risorse dedicate alla politica della salute, ma rileva con preoccupazione l’ulteriore rinvio </w:t>
      </w:r>
      <w:r w:rsidR="00712C48">
        <w:rPr>
          <w:rFonts w:ascii="Georgia" w:hAnsi="Georgia"/>
          <w:sz w:val="22"/>
          <w:szCs w:val="22"/>
        </w:rPr>
        <w:t>di questa rimodulazione</w:t>
      </w:r>
      <w:r w:rsidR="00405DE0">
        <w:rPr>
          <w:rFonts w:ascii="Georgia" w:hAnsi="Georgia"/>
          <w:sz w:val="22"/>
          <w:szCs w:val="22"/>
        </w:rPr>
        <w:t>, che avverrebbe a parità di risorse finanziarie stanziate</w:t>
      </w:r>
      <w:r w:rsidR="00712C48">
        <w:rPr>
          <w:rFonts w:ascii="Georgia" w:hAnsi="Georgia"/>
          <w:sz w:val="22"/>
          <w:szCs w:val="22"/>
        </w:rPr>
        <w:t xml:space="preserve">. </w:t>
      </w:r>
    </w:p>
    <w:p w14:paraId="207B09EC" w14:textId="77777777" w:rsidR="002F6C2F" w:rsidRPr="00712C48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2B38547D" w14:textId="77777777" w:rsidR="002F6C2F" w:rsidRPr="00712C48" w:rsidRDefault="002F6C2F" w:rsidP="002F6C2F">
      <w:pPr>
        <w:spacing w:line="280" w:lineRule="exact"/>
        <w:jc w:val="both"/>
        <w:rPr>
          <w:rFonts w:ascii="Georgia" w:eastAsiaTheme="minorHAnsi" w:hAnsi="Georgia"/>
          <w:sz w:val="22"/>
          <w:szCs w:val="22"/>
          <w:bdr w:val="none" w:sz="0" w:space="0" w:color="auto" w:frame="1"/>
        </w:rPr>
      </w:pPr>
      <w:r w:rsidRPr="00712C48">
        <w:rPr>
          <w:rFonts w:ascii="Georgia" w:hAnsi="Georgia"/>
          <w:sz w:val="22"/>
          <w:szCs w:val="22"/>
        </w:rPr>
        <w:t>Spesa palesemente inadeguata rispetto alla domanda effettiva di salute del Paese, tenuto conto del rapido invecchiamento della popolazione, delle straordinarie innovazioni dei farmaci ospedalieri e di una spesa in farmacia già fortemente contenuta sotto il tetto fissato.</w:t>
      </w:r>
    </w:p>
    <w:p w14:paraId="2B0E0A44" w14:textId="77777777" w:rsidR="002F6C2F" w:rsidRPr="00712C48" w:rsidRDefault="002F6C2F" w:rsidP="002F6C2F">
      <w:pPr>
        <w:spacing w:line="280" w:lineRule="exact"/>
        <w:jc w:val="both"/>
        <w:rPr>
          <w:rFonts w:ascii="Georgia" w:eastAsia="Arial Unicode MS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> </w:t>
      </w:r>
    </w:p>
    <w:p w14:paraId="1DB9DC1F" w14:textId="77777777" w:rsidR="00405DE0" w:rsidRDefault="00405DE0" w:rsidP="00405DE0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 xml:space="preserve">Il permanere degli attuali tetti rende di fatto indisponibile circa 1 miliardo di euro degli stanziamenti fissati per legge, già inferiori di circa il 25% rispetto alla spesa negli altri Paesi europei. </w:t>
      </w:r>
    </w:p>
    <w:p w14:paraId="7E3E434F" w14:textId="77777777" w:rsidR="00405DE0" w:rsidRPr="00712C48" w:rsidRDefault="00405DE0" w:rsidP="00405DE0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7C47E5FD" w14:textId="4097D8CF" w:rsidR="002F6C2F" w:rsidRPr="00712C48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 xml:space="preserve">Lo stesso </w:t>
      </w:r>
      <w:r w:rsidR="00344490" w:rsidRPr="00712C48">
        <w:rPr>
          <w:rFonts w:ascii="Georgia" w:hAnsi="Georgia"/>
          <w:sz w:val="22"/>
          <w:szCs w:val="22"/>
        </w:rPr>
        <w:t>M</w:t>
      </w:r>
      <w:r w:rsidRPr="00712C48">
        <w:rPr>
          <w:rFonts w:ascii="Georgia" w:hAnsi="Georgia"/>
          <w:sz w:val="22"/>
          <w:szCs w:val="22"/>
        </w:rPr>
        <w:t>inistro onorevole Roberto Speranza in questi giorni ha riconosciuto la necessità di una correzione.</w:t>
      </w:r>
      <w:r w:rsidR="00B816D2">
        <w:rPr>
          <w:rFonts w:ascii="Georgia" w:hAnsi="Georgia"/>
          <w:sz w:val="22"/>
          <w:szCs w:val="22"/>
        </w:rPr>
        <w:t xml:space="preserve"> </w:t>
      </w:r>
      <w:r w:rsidRPr="00712C48">
        <w:rPr>
          <w:rFonts w:ascii="Georgia" w:hAnsi="Georgia"/>
          <w:sz w:val="22"/>
          <w:szCs w:val="22"/>
        </w:rPr>
        <w:t>Una linea già espressa dalle Regioni, in occasione dell’Accordo sottoscritto con Farmindustria e Assogenerici e che ha portato alla soluzione positiva dei contenziosi sui versamenti dell’industria farmaceutica (</w:t>
      </w:r>
      <w:proofErr w:type="spellStart"/>
      <w:r w:rsidRPr="00712C48">
        <w:rPr>
          <w:rFonts w:ascii="Georgia" w:hAnsi="Georgia"/>
          <w:i/>
          <w:iCs/>
          <w:sz w:val="22"/>
          <w:szCs w:val="22"/>
        </w:rPr>
        <w:t>pay</w:t>
      </w:r>
      <w:proofErr w:type="spellEnd"/>
      <w:r w:rsidRPr="00712C48">
        <w:rPr>
          <w:rFonts w:ascii="Georgia" w:hAnsi="Georgia"/>
          <w:i/>
          <w:iCs/>
          <w:sz w:val="22"/>
          <w:szCs w:val="22"/>
        </w:rPr>
        <w:t xml:space="preserve"> back)</w:t>
      </w:r>
      <w:r w:rsidRPr="00712C48">
        <w:rPr>
          <w:rFonts w:ascii="Georgia" w:hAnsi="Georgia"/>
          <w:sz w:val="22"/>
          <w:szCs w:val="22"/>
        </w:rPr>
        <w:t xml:space="preserve"> per gli anni 2013-2017 e al pagamento di 2,4 miliardi da parte delle imprese</w:t>
      </w:r>
      <w:r w:rsidR="007F5F0C" w:rsidRPr="00712C48">
        <w:rPr>
          <w:rFonts w:ascii="Georgia" w:hAnsi="Georgia"/>
          <w:sz w:val="22"/>
          <w:szCs w:val="22"/>
        </w:rPr>
        <w:t>,</w:t>
      </w:r>
      <w:r w:rsidRPr="00712C48">
        <w:rPr>
          <w:rFonts w:ascii="Georgia" w:hAnsi="Georgia"/>
          <w:sz w:val="22"/>
          <w:szCs w:val="22"/>
        </w:rPr>
        <w:t xml:space="preserve"> dal precedente </w:t>
      </w:r>
      <w:r w:rsidR="00344490" w:rsidRPr="00712C48">
        <w:rPr>
          <w:rFonts w:ascii="Georgia" w:hAnsi="Georgia"/>
          <w:sz w:val="22"/>
          <w:szCs w:val="22"/>
        </w:rPr>
        <w:t>M</w:t>
      </w:r>
      <w:r w:rsidRPr="00712C48">
        <w:rPr>
          <w:rFonts w:ascii="Georgia" w:hAnsi="Georgia"/>
          <w:sz w:val="22"/>
          <w:szCs w:val="22"/>
        </w:rPr>
        <w:t>inistro onorevole Giulia Grillo quando ha ritenuto di sostenere questo accordo con una norma di legge e dalle Organizzazioni Sindacali di settore attraverso un comunicato pubblicato nei giorni scorsi.</w:t>
      </w:r>
    </w:p>
    <w:p w14:paraId="6D4F114B" w14:textId="77777777" w:rsidR="002F6C2F" w:rsidRPr="00712C48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> </w:t>
      </w:r>
    </w:p>
    <w:p w14:paraId="76FF8578" w14:textId="77777777" w:rsidR="00B816D2" w:rsidRDefault="00344490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>Le</w:t>
      </w:r>
      <w:r w:rsidR="002F6C2F" w:rsidRPr="00712C48">
        <w:rPr>
          <w:rFonts w:ascii="Georgia" w:hAnsi="Georgia"/>
          <w:sz w:val="22"/>
          <w:szCs w:val="22"/>
        </w:rPr>
        <w:t xml:space="preserve"> scelte </w:t>
      </w:r>
      <w:r w:rsidRPr="00712C48">
        <w:rPr>
          <w:rFonts w:ascii="Georgia" w:hAnsi="Georgia"/>
          <w:sz w:val="22"/>
          <w:szCs w:val="22"/>
        </w:rPr>
        <w:t>effettuate</w:t>
      </w:r>
      <w:r w:rsidR="002F6C2F" w:rsidRPr="00712C48">
        <w:rPr>
          <w:rFonts w:ascii="Georgia" w:hAnsi="Georgia"/>
          <w:sz w:val="22"/>
          <w:szCs w:val="22"/>
        </w:rPr>
        <w:t xml:space="preserve"> renderanno difficile attrarre </w:t>
      </w:r>
      <w:r w:rsidR="007F5F0C" w:rsidRPr="00712C48">
        <w:rPr>
          <w:rFonts w:ascii="Georgia" w:hAnsi="Georgia"/>
          <w:sz w:val="22"/>
          <w:szCs w:val="22"/>
        </w:rPr>
        <w:t xml:space="preserve">e addirittura mantenere </w:t>
      </w:r>
      <w:r w:rsidR="002F6C2F" w:rsidRPr="00712C48">
        <w:rPr>
          <w:rFonts w:ascii="Georgia" w:hAnsi="Georgia"/>
          <w:sz w:val="22"/>
          <w:szCs w:val="22"/>
        </w:rPr>
        <w:t>gli investimenti in Italia, in un contesto mondiale sempre più competitivo</w:t>
      </w:r>
      <w:r w:rsidR="00405DE0">
        <w:rPr>
          <w:rFonts w:ascii="Georgia" w:hAnsi="Georgia"/>
          <w:sz w:val="22"/>
          <w:szCs w:val="22"/>
        </w:rPr>
        <w:t>, con una perdita della credibilità del sistema Paese</w:t>
      </w:r>
      <w:r w:rsidR="002F6C2F" w:rsidRPr="00712C48">
        <w:rPr>
          <w:rFonts w:ascii="Georgia" w:hAnsi="Georgia"/>
          <w:sz w:val="22"/>
          <w:szCs w:val="22"/>
        </w:rPr>
        <w:t>.</w:t>
      </w:r>
      <w:r w:rsidR="00712C48" w:rsidRPr="00712C48">
        <w:rPr>
          <w:rFonts w:ascii="Georgia" w:hAnsi="Georgia"/>
          <w:sz w:val="22"/>
          <w:szCs w:val="22"/>
        </w:rPr>
        <w:t xml:space="preserve"> </w:t>
      </w:r>
    </w:p>
    <w:p w14:paraId="5AAAA072" w14:textId="77777777" w:rsidR="00B816D2" w:rsidRDefault="00B816D2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7D395A4A" w14:textId="43B039EA" w:rsidR="002F6C2F" w:rsidRPr="00712C48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 xml:space="preserve">L’industria farmaceutica si è affermata come </w:t>
      </w:r>
      <w:r w:rsidRPr="00712C48">
        <w:rPr>
          <w:rFonts w:ascii="Georgia" w:hAnsi="Georgia"/>
          <w:i/>
          <w:sz w:val="22"/>
          <w:szCs w:val="22"/>
        </w:rPr>
        <w:t>hub</w:t>
      </w:r>
      <w:r w:rsidRPr="00712C48">
        <w:rPr>
          <w:rFonts w:ascii="Georgia" w:hAnsi="Georgia"/>
          <w:sz w:val="22"/>
          <w:szCs w:val="22"/>
        </w:rPr>
        <w:t xml:space="preserve"> europeo e uno dei motori dell’economia.  Grazie al valore di occupazione, investimenti, esportazioni, Ricerca e studi clinici. </w:t>
      </w:r>
    </w:p>
    <w:p w14:paraId="5EDA1878" w14:textId="6FE99260" w:rsidR="00B816D2" w:rsidRDefault="002F6C2F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 xml:space="preserve">E ha fatto la </w:t>
      </w:r>
      <w:r w:rsidR="00BF68F8" w:rsidRPr="00712C48">
        <w:rPr>
          <w:rFonts w:ascii="Georgia" w:hAnsi="Georgia"/>
          <w:sz w:val="22"/>
          <w:szCs w:val="22"/>
        </w:rPr>
        <w:t>propria</w:t>
      </w:r>
      <w:r w:rsidRPr="00712C48">
        <w:rPr>
          <w:rFonts w:ascii="Georgia" w:hAnsi="Georgia"/>
          <w:sz w:val="22"/>
          <w:szCs w:val="22"/>
        </w:rPr>
        <w:t xml:space="preserve"> parte per rispettare l’accordo sottoscritto con le Regioni per una nuova </w:t>
      </w:r>
      <w:r w:rsidRPr="00712C48">
        <w:rPr>
          <w:rFonts w:ascii="Georgia" w:hAnsi="Georgia"/>
          <w:i/>
          <w:sz w:val="22"/>
          <w:szCs w:val="22"/>
        </w:rPr>
        <w:t>governance</w:t>
      </w:r>
      <w:r w:rsidRPr="00712C48">
        <w:rPr>
          <w:rFonts w:ascii="Georgia" w:hAnsi="Georgia"/>
          <w:sz w:val="22"/>
          <w:szCs w:val="22"/>
        </w:rPr>
        <w:t xml:space="preserve">. </w:t>
      </w:r>
    </w:p>
    <w:p w14:paraId="1C65643A" w14:textId="77777777" w:rsidR="00B816D2" w:rsidRDefault="00B816D2" w:rsidP="002F6C2F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32D7205D" w14:textId="78C2D58A" w:rsidR="00CF17D7" w:rsidRPr="002F6C2F" w:rsidRDefault="00712C48" w:rsidP="00F033BF">
      <w:pPr>
        <w:spacing w:line="280" w:lineRule="exact"/>
        <w:jc w:val="both"/>
        <w:rPr>
          <w:sz w:val="22"/>
          <w:szCs w:val="22"/>
        </w:rPr>
      </w:pPr>
      <w:r w:rsidRPr="00712C48">
        <w:rPr>
          <w:rFonts w:ascii="Georgia" w:hAnsi="Georgia"/>
          <w:sz w:val="22"/>
          <w:szCs w:val="22"/>
        </w:rPr>
        <w:t>Ora</w:t>
      </w:r>
      <w:r>
        <w:rPr>
          <w:rFonts w:ascii="Georgia" w:hAnsi="Georgia"/>
          <w:sz w:val="22"/>
          <w:szCs w:val="22"/>
        </w:rPr>
        <w:t xml:space="preserve"> le imprese del farmaco</w:t>
      </w:r>
      <w:r w:rsidRPr="00712C48">
        <w:rPr>
          <w:rFonts w:ascii="Georgia" w:hAnsi="Georgia"/>
          <w:sz w:val="22"/>
          <w:szCs w:val="22"/>
        </w:rPr>
        <w:t xml:space="preserve"> si attend</w:t>
      </w:r>
      <w:r>
        <w:rPr>
          <w:rFonts w:ascii="Georgia" w:hAnsi="Georgia"/>
          <w:sz w:val="22"/>
          <w:szCs w:val="22"/>
        </w:rPr>
        <w:t>ono</w:t>
      </w:r>
      <w:r w:rsidRPr="00712C48">
        <w:rPr>
          <w:rFonts w:ascii="Georgia" w:hAnsi="Georgia"/>
          <w:sz w:val="22"/>
          <w:szCs w:val="22"/>
        </w:rPr>
        <w:t xml:space="preserve"> che </w:t>
      </w:r>
      <w:r w:rsidR="00B816D2">
        <w:rPr>
          <w:rFonts w:ascii="Georgia" w:hAnsi="Georgia"/>
          <w:sz w:val="22"/>
          <w:szCs w:val="22"/>
        </w:rPr>
        <w:t xml:space="preserve">il Patto finora </w:t>
      </w:r>
      <w:bookmarkStart w:id="0" w:name="_GoBack"/>
      <w:bookmarkEnd w:id="0"/>
      <w:r w:rsidR="00B816D2">
        <w:rPr>
          <w:rFonts w:ascii="Georgia" w:hAnsi="Georgia"/>
          <w:sz w:val="22"/>
          <w:szCs w:val="22"/>
        </w:rPr>
        <w:t>disatteso sia rispettato dalle Istituzioni,</w:t>
      </w:r>
      <w:r w:rsidR="00405DE0">
        <w:rPr>
          <w:rFonts w:ascii="Georgia" w:hAnsi="Georgia"/>
          <w:sz w:val="22"/>
          <w:szCs w:val="22"/>
        </w:rPr>
        <w:t xml:space="preserve"> già in </w:t>
      </w:r>
      <w:r w:rsidR="00FF783C">
        <w:rPr>
          <w:rFonts w:ascii="Georgia" w:hAnsi="Georgia"/>
          <w:sz w:val="22"/>
          <w:szCs w:val="22"/>
        </w:rPr>
        <w:t>M</w:t>
      </w:r>
      <w:r w:rsidR="00405DE0">
        <w:rPr>
          <w:rFonts w:ascii="Georgia" w:hAnsi="Georgia"/>
          <w:sz w:val="22"/>
          <w:szCs w:val="22"/>
        </w:rPr>
        <w:t>anovra o nel primo provvedimento utile</w:t>
      </w:r>
      <w:r>
        <w:rPr>
          <w:rFonts w:ascii="Georgia" w:hAnsi="Georgia"/>
          <w:sz w:val="22"/>
          <w:szCs w:val="22"/>
        </w:rPr>
        <w:t xml:space="preserve">. </w:t>
      </w:r>
    </w:p>
    <w:sectPr w:rsidR="00CF17D7" w:rsidRPr="002F6C2F" w:rsidSect="00240602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  <w:numStart w:val="2"/>
      </w:endnotePr>
      <w:pgSz w:w="11906" w:h="16838" w:code="9"/>
      <w:pgMar w:top="2835" w:right="1134" w:bottom="2835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FDF35" w14:textId="77777777" w:rsidR="003E5B90" w:rsidRDefault="003E5B90">
      <w:r>
        <w:separator/>
      </w:r>
    </w:p>
  </w:endnote>
  <w:endnote w:type="continuationSeparator" w:id="0">
    <w:p w14:paraId="0F8034F5" w14:textId="77777777" w:rsidR="003E5B90" w:rsidRDefault="003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8FF702C8-6425-4BC9-8A1F-37CB5C861162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subsetted="1" w:fontKey="{95670CB6-D957-423C-B555-322E10328AFE}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5C77C9D3-513F-4193-A392-7BC7BE4C694D}"/>
    <w:embedBold r:id="rId4" w:fontKey="{F95B2548-D4C1-43D3-A45A-3388AE68C67C}"/>
    <w:embedItalic r:id="rId5" w:fontKey="{10BEDB75-AA20-4593-8D9E-B972B79B0A5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F76A" w14:textId="77777777" w:rsidR="00D627BA" w:rsidRDefault="00D627BA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389012" w14:textId="77777777" w:rsidR="00D627BA" w:rsidRDefault="00D627B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568C" w14:textId="77777777" w:rsidR="00D627BA" w:rsidRDefault="00D627BA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B816D2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0D85E525" w14:textId="77777777" w:rsidR="00D627BA" w:rsidRDefault="00D627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F1423" w14:textId="77777777" w:rsidR="003E5B90" w:rsidRDefault="003E5B90">
      <w:r>
        <w:separator/>
      </w:r>
    </w:p>
  </w:footnote>
  <w:footnote w:type="continuationSeparator" w:id="0">
    <w:p w14:paraId="5D741053" w14:textId="77777777" w:rsidR="003E5B90" w:rsidRDefault="003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943A" w14:textId="77777777" w:rsidR="00D627BA" w:rsidRDefault="002F6C2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671DAC" wp14:editId="31EA3936">
              <wp:simplePos x="0" y="0"/>
              <wp:positionH relativeFrom="column">
                <wp:posOffset>-573405</wp:posOffset>
              </wp:positionH>
              <wp:positionV relativeFrom="paragraph">
                <wp:posOffset>113030</wp:posOffset>
              </wp:positionV>
              <wp:extent cx="2402205" cy="6724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AB719" w14:textId="77777777" w:rsidR="00D627BA" w:rsidRDefault="00D627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2FF349" wp14:editId="5095043F">
                                <wp:extent cx="1609725" cy="419100"/>
                                <wp:effectExtent l="19050" t="0" r="9525" b="0"/>
                                <wp:docPr id="1" name="Immagine 1" descr="logoFarmindustr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Farmindustr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9725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F671D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15pt;margin-top:8.9pt;width:189.15pt;height:5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" stroked="f">
              <v:textbox>
                <w:txbxContent>
                  <w:p w14:paraId="5CEAB719" w14:textId="77777777" w:rsidR="00D627BA" w:rsidRDefault="00D627BA">
                    <w:r>
                      <w:rPr>
                        <w:noProof/>
                      </w:rPr>
                      <w:drawing>
                        <wp:inline distT="0" distB="0" distL="0" distR="0" wp14:anchorId="3E2FF349" wp14:editId="5095043F">
                          <wp:extent cx="1609725" cy="419100"/>
                          <wp:effectExtent l="19050" t="0" r="9525" b="0"/>
                          <wp:docPr id="1" name="Immagine 1" descr="logoFarmindustr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Farmindustr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9725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F064" w14:textId="77777777" w:rsidR="00D627BA" w:rsidRDefault="00D627BA">
    <w:pPr>
      <w:pStyle w:val="Intestazione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A18B7C" wp14:editId="2D70D6BC">
          <wp:simplePos x="0" y="0"/>
          <wp:positionH relativeFrom="column">
            <wp:posOffset>-512445</wp:posOffset>
          </wp:positionH>
          <wp:positionV relativeFrom="paragraph">
            <wp:posOffset>-80645</wp:posOffset>
          </wp:positionV>
          <wp:extent cx="1772920" cy="461645"/>
          <wp:effectExtent l="19050" t="0" r="0" b="0"/>
          <wp:wrapSquare wrapText="bothSides"/>
          <wp:docPr id="4" name="Immagine 4" descr="logoFarmindust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Farmindust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4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B1F"/>
    <w:multiLevelType w:val="hybridMultilevel"/>
    <w:tmpl w:val="A07E9ED0"/>
    <w:lvl w:ilvl="0" w:tplc="EC6A5F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218C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186DA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1E92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BE6AF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2678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E0ABA3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BD0B96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D637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189C6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AC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B0B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E3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08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A47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CB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AA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242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 w:tplc="97DA2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4FA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0B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52E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06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88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67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2C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A7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03E8"/>
    <w:multiLevelType w:val="hybridMultilevel"/>
    <w:tmpl w:val="1F7C25AA"/>
    <w:lvl w:ilvl="0" w:tplc="31089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8B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2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EF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6C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0F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69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E6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E6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61AC5"/>
    <w:multiLevelType w:val="hybridMultilevel"/>
    <w:tmpl w:val="7D7C9318"/>
    <w:lvl w:ilvl="0" w:tplc="0E5C3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4B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8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CE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AE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89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44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65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9A8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06AE7"/>
    <w:rsid w:val="00011C16"/>
    <w:rsid w:val="000257F8"/>
    <w:rsid w:val="0006024C"/>
    <w:rsid w:val="0007012E"/>
    <w:rsid w:val="000A4BB9"/>
    <w:rsid w:val="000C077A"/>
    <w:rsid w:val="001A489A"/>
    <w:rsid w:val="00240602"/>
    <w:rsid w:val="00251101"/>
    <w:rsid w:val="002B1C53"/>
    <w:rsid w:val="002E551D"/>
    <w:rsid w:val="002F6C2F"/>
    <w:rsid w:val="00302061"/>
    <w:rsid w:val="00306FC5"/>
    <w:rsid w:val="00344490"/>
    <w:rsid w:val="003C793E"/>
    <w:rsid w:val="003E5B90"/>
    <w:rsid w:val="003F4D7A"/>
    <w:rsid w:val="00405DE0"/>
    <w:rsid w:val="004327F5"/>
    <w:rsid w:val="004358E1"/>
    <w:rsid w:val="004B6766"/>
    <w:rsid w:val="00551F79"/>
    <w:rsid w:val="0058016A"/>
    <w:rsid w:val="005861A6"/>
    <w:rsid w:val="005F020C"/>
    <w:rsid w:val="005F4A47"/>
    <w:rsid w:val="00602D35"/>
    <w:rsid w:val="00664A05"/>
    <w:rsid w:val="00670FF4"/>
    <w:rsid w:val="00685A6C"/>
    <w:rsid w:val="00712C48"/>
    <w:rsid w:val="00767CB6"/>
    <w:rsid w:val="007B0CB6"/>
    <w:rsid w:val="007F5F0C"/>
    <w:rsid w:val="008759A2"/>
    <w:rsid w:val="008F279C"/>
    <w:rsid w:val="00903728"/>
    <w:rsid w:val="00936BAB"/>
    <w:rsid w:val="009605BE"/>
    <w:rsid w:val="009A5D41"/>
    <w:rsid w:val="00A75415"/>
    <w:rsid w:val="00AC65E9"/>
    <w:rsid w:val="00AD05A6"/>
    <w:rsid w:val="00B816D2"/>
    <w:rsid w:val="00BD52F7"/>
    <w:rsid w:val="00BF68F8"/>
    <w:rsid w:val="00C20613"/>
    <w:rsid w:val="00CB3CEA"/>
    <w:rsid w:val="00CF17D7"/>
    <w:rsid w:val="00CF28D6"/>
    <w:rsid w:val="00D07C09"/>
    <w:rsid w:val="00D33F80"/>
    <w:rsid w:val="00D52FFF"/>
    <w:rsid w:val="00D627BA"/>
    <w:rsid w:val="00DC7EC2"/>
    <w:rsid w:val="00DE3C46"/>
    <w:rsid w:val="00E4050D"/>
    <w:rsid w:val="00E768EB"/>
    <w:rsid w:val="00E93288"/>
    <w:rsid w:val="00E968C8"/>
    <w:rsid w:val="00F033BF"/>
    <w:rsid w:val="00F27A24"/>
    <w:rsid w:val="00F84550"/>
    <w:rsid w:val="00F85008"/>
    <w:rsid w:val="00F87F54"/>
    <w:rsid w:val="00FB050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31B73F"/>
  <w15:docId w15:val="{D9C374FB-DC02-4BBD-B681-6C4E378C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character" w:styleId="Collegamentoipertestuale">
    <w:name w:val="Hyperlink"/>
    <w:basedOn w:val="Carpredefinitoparagrafo"/>
    <w:rsid w:val="003F4D7A"/>
    <w:rPr>
      <w:color w:val="0000FF"/>
      <w:u w:val="single"/>
    </w:rPr>
  </w:style>
  <w:style w:type="character" w:styleId="Collegamentovisitato">
    <w:name w:val="FollowedHyperlink"/>
    <w:basedOn w:val="Carpredefinitoparagrafo"/>
    <w:rsid w:val="003F4D7A"/>
    <w:rPr>
      <w:color w:val="800080"/>
      <w:u w:val="single"/>
    </w:rPr>
  </w:style>
  <w:style w:type="paragraph" w:customStyle="1" w:styleId="Corpo">
    <w:name w:val="Corpo"/>
    <w:rsid w:val="002F6C2F"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Graffiti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Morelli Antonio</cp:lastModifiedBy>
  <cp:revision>2</cp:revision>
  <cp:lastPrinted>2019-12-16T15:08:00Z</cp:lastPrinted>
  <dcterms:created xsi:type="dcterms:W3CDTF">2019-12-16T15:11:00Z</dcterms:created>
  <dcterms:modified xsi:type="dcterms:W3CDTF">2019-12-16T15:11:00Z</dcterms:modified>
</cp:coreProperties>
</file>