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F5E" w:rsidRDefault="00F95F5E" w:rsidP="00F95F5E">
      <w:pPr>
        <w:ind w:left="142"/>
        <w:rPr>
          <w:rFonts w:ascii="Georgia" w:hAnsi="Georgia"/>
          <w:sz w:val="22"/>
          <w:szCs w:val="22"/>
        </w:rPr>
      </w:pPr>
    </w:p>
    <w:p w:rsidR="003905A4" w:rsidRDefault="003905A4" w:rsidP="00F95F5E">
      <w:pPr>
        <w:ind w:left="142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Roma,</w:t>
      </w:r>
      <w:r w:rsidR="00BF4338">
        <w:rPr>
          <w:rFonts w:ascii="Georgia" w:hAnsi="Georgia"/>
          <w:sz w:val="22"/>
          <w:szCs w:val="22"/>
        </w:rPr>
        <w:t xml:space="preserve"> 5</w:t>
      </w:r>
      <w:r w:rsidR="000C7D30">
        <w:rPr>
          <w:rFonts w:ascii="Georgia" w:hAnsi="Georgia"/>
          <w:sz w:val="22"/>
          <w:szCs w:val="22"/>
        </w:rPr>
        <w:t xml:space="preserve"> </w:t>
      </w:r>
      <w:r w:rsidR="00150C9C">
        <w:rPr>
          <w:rFonts w:ascii="Georgia" w:hAnsi="Georgia"/>
          <w:sz w:val="22"/>
          <w:szCs w:val="22"/>
        </w:rPr>
        <w:t>dicembre</w:t>
      </w:r>
      <w:r w:rsidR="00445F06">
        <w:rPr>
          <w:rFonts w:ascii="Georgia" w:hAnsi="Georgia"/>
          <w:sz w:val="22"/>
          <w:szCs w:val="22"/>
        </w:rPr>
        <w:t xml:space="preserve"> </w:t>
      </w:r>
      <w:r w:rsidR="00575C9C">
        <w:rPr>
          <w:rFonts w:ascii="Georgia" w:hAnsi="Georgia"/>
          <w:sz w:val="22"/>
          <w:szCs w:val="22"/>
        </w:rPr>
        <w:t>201</w:t>
      </w:r>
      <w:r w:rsidR="003A7429">
        <w:rPr>
          <w:rFonts w:ascii="Georgia" w:hAnsi="Georgia"/>
          <w:sz w:val="22"/>
          <w:szCs w:val="22"/>
        </w:rPr>
        <w:t>9</w:t>
      </w:r>
    </w:p>
    <w:p w:rsidR="003A7429" w:rsidRDefault="003A7429" w:rsidP="00F95F5E">
      <w:pPr>
        <w:ind w:left="142"/>
        <w:rPr>
          <w:rFonts w:ascii="Georgia" w:hAnsi="Georgia"/>
          <w:sz w:val="22"/>
          <w:szCs w:val="22"/>
        </w:rPr>
      </w:pPr>
    </w:p>
    <w:p w:rsidR="003905A4" w:rsidRDefault="003905A4" w:rsidP="00F95F5E">
      <w:pPr>
        <w:ind w:left="142"/>
        <w:rPr>
          <w:rFonts w:ascii="Georgia" w:hAnsi="Georgia"/>
          <w:sz w:val="22"/>
          <w:szCs w:val="22"/>
        </w:rPr>
      </w:pPr>
    </w:p>
    <w:p w:rsidR="003905A4" w:rsidRDefault="00032704" w:rsidP="00EB0B82">
      <w:pPr>
        <w:ind w:left="142" w:right="849"/>
        <w:jc w:val="both"/>
        <w:rPr>
          <w:rFonts w:ascii="Georgia" w:hAnsi="Georgia"/>
          <w:b/>
          <w:smallCaps/>
          <w:sz w:val="22"/>
          <w:szCs w:val="22"/>
        </w:rPr>
      </w:pPr>
      <w:r>
        <w:rPr>
          <w:rFonts w:ascii="Georgia" w:hAnsi="Georgia"/>
          <w:b/>
          <w:smallCaps/>
          <w:sz w:val="22"/>
          <w:szCs w:val="22"/>
        </w:rPr>
        <w:t>Comunicato Stampa</w:t>
      </w:r>
    </w:p>
    <w:p w:rsidR="00EB0B82" w:rsidRDefault="00EB0B82" w:rsidP="00EB0B82">
      <w:pPr>
        <w:ind w:left="142" w:right="849"/>
        <w:jc w:val="both"/>
        <w:rPr>
          <w:rFonts w:ascii="Georgia" w:hAnsi="Georgia"/>
          <w:b/>
          <w:smallCaps/>
          <w:sz w:val="22"/>
          <w:szCs w:val="22"/>
        </w:rPr>
      </w:pPr>
    </w:p>
    <w:p w:rsidR="00EB0B82" w:rsidRDefault="00EB0B82" w:rsidP="00EB0B82">
      <w:pPr>
        <w:ind w:left="142" w:right="849"/>
        <w:jc w:val="both"/>
        <w:rPr>
          <w:rFonts w:ascii="Georgia" w:hAnsi="Georgia"/>
          <w:b/>
          <w:smallCaps/>
          <w:sz w:val="22"/>
          <w:szCs w:val="22"/>
        </w:rPr>
      </w:pPr>
      <w:r>
        <w:rPr>
          <w:rFonts w:ascii="Georgia" w:hAnsi="Georgia"/>
          <w:b/>
          <w:smallCaps/>
          <w:sz w:val="22"/>
          <w:szCs w:val="22"/>
        </w:rPr>
        <w:t xml:space="preserve">Osservatorio Farmaceutico: nuove </w:t>
      </w:r>
      <w:r w:rsidR="00486B8C">
        <w:rPr>
          <w:rFonts w:ascii="Georgia" w:hAnsi="Georgia"/>
          <w:b/>
          <w:smallCaps/>
          <w:sz w:val="22"/>
          <w:szCs w:val="22"/>
        </w:rPr>
        <w:t>regole</w:t>
      </w:r>
      <w:bookmarkStart w:id="0" w:name="_GoBack"/>
      <w:bookmarkEnd w:id="0"/>
      <w:r>
        <w:rPr>
          <w:rFonts w:ascii="Georgia" w:hAnsi="Georgia"/>
          <w:b/>
          <w:smallCaps/>
          <w:sz w:val="22"/>
          <w:szCs w:val="22"/>
        </w:rPr>
        <w:t xml:space="preserve"> per la competitività e la crescita del settore e del Paese</w:t>
      </w:r>
    </w:p>
    <w:p w:rsidR="00032704" w:rsidRDefault="00032704" w:rsidP="00F95F5E">
      <w:pPr>
        <w:ind w:left="142" w:right="849"/>
        <w:rPr>
          <w:rFonts w:ascii="Georgia" w:hAnsi="Georgia"/>
          <w:b/>
          <w:smallCaps/>
          <w:sz w:val="22"/>
          <w:szCs w:val="22"/>
        </w:rPr>
      </w:pPr>
    </w:p>
    <w:p w:rsidR="00445F06" w:rsidRDefault="00445F06" w:rsidP="00F95F5E">
      <w:pPr>
        <w:ind w:left="142" w:right="849" w:hanging="142"/>
        <w:rPr>
          <w:rFonts w:ascii="Georgia" w:hAnsi="Georgia"/>
          <w:b/>
          <w:smallCaps/>
          <w:sz w:val="22"/>
          <w:szCs w:val="22"/>
        </w:rPr>
      </w:pPr>
    </w:p>
    <w:p w:rsidR="003A7429" w:rsidRPr="00F95F5E" w:rsidRDefault="004B0CAC" w:rsidP="00F95F5E">
      <w:pPr>
        <w:spacing w:line="280" w:lineRule="exact"/>
        <w:ind w:left="142" w:right="849"/>
        <w:jc w:val="both"/>
        <w:rPr>
          <w:rFonts w:ascii="Georgia" w:hAnsi="Georgia"/>
          <w:sz w:val="22"/>
          <w:szCs w:val="22"/>
        </w:rPr>
      </w:pPr>
      <w:r w:rsidRPr="00F95F5E">
        <w:rPr>
          <w:rFonts w:ascii="Georgia" w:hAnsi="Georgia"/>
          <w:sz w:val="22"/>
          <w:szCs w:val="22"/>
        </w:rPr>
        <w:t xml:space="preserve">Le </w:t>
      </w:r>
      <w:r w:rsidR="008B0EC6" w:rsidRPr="00F95F5E">
        <w:rPr>
          <w:rFonts w:ascii="Georgia" w:hAnsi="Georgia"/>
          <w:sz w:val="22"/>
          <w:szCs w:val="22"/>
        </w:rPr>
        <w:t>O</w:t>
      </w:r>
      <w:r w:rsidRPr="00F95F5E">
        <w:rPr>
          <w:rFonts w:ascii="Georgia" w:hAnsi="Georgia"/>
          <w:sz w:val="22"/>
          <w:szCs w:val="22"/>
        </w:rPr>
        <w:t xml:space="preserve">rganizzazioni </w:t>
      </w:r>
      <w:r w:rsidR="008B0EC6" w:rsidRPr="00F95F5E">
        <w:rPr>
          <w:rFonts w:ascii="Georgia" w:hAnsi="Georgia"/>
          <w:sz w:val="22"/>
          <w:szCs w:val="22"/>
        </w:rPr>
        <w:t>S</w:t>
      </w:r>
      <w:r w:rsidRPr="00F95F5E">
        <w:rPr>
          <w:rFonts w:ascii="Georgia" w:hAnsi="Georgia"/>
          <w:sz w:val="22"/>
          <w:szCs w:val="22"/>
        </w:rPr>
        <w:t>indacali</w:t>
      </w:r>
      <w:r w:rsidR="00570A75" w:rsidRPr="00F95F5E">
        <w:rPr>
          <w:rFonts w:ascii="Georgia" w:hAnsi="Georgia"/>
          <w:sz w:val="22"/>
          <w:szCs w:val="22"/>
        </w:rPr>
        <w:t xml:space="preserve"> </w:t>
      </w:r>
      <w:proofErr w:type="spellStart"/>
      <w:r w:rsidR="00570A75" w:rsidRPr="00F95F5E">
        <w:rPr>
          <w:rFonts w:ascii="Georgia" w:hAnsi="Georgia"/>
          <w:sz w:val="22"/>
          <w:szCs w:val="22"/>
        </w:rPr>
        <w:t>Filctem</w:t>
      </w:r>
      <w:proofErr w:type="spellEnd"/>
      <w:r w:rsidR="00570A75" w:rsidRPr="00F95F5E">
        <w:rPr>
          <w:rFonts w:ascii="Georgia" w:hAnsi="Georgia"/>
          <w:sz w:val="22"/>
          <w:szCs w:val="22"/>
        </w:rPr>
        <w:t xml:space="preserve"> – Cgil, </w:t>
      </w:r>
      <w:proofErr w:type="spellStart"/>
      <w:r w:rsidR="00570A75" w:rsidRPr="00F95F5E">
        <w:rPr>
          <w:rFonts w:ascii="Georgia" w:hAnsi="Georgia"/>
          <w:sz w:val="22"/>
          <w:szCs w:val="22"/>
        </w:rPr>
        <w:t>Femca</w:t>
      </w:r>
      <w:proofErr w:type="spellEnd"/>
      <w:r w:rsidR="00570A75" w:rsidRPr="00F95F5E">
        <w:rPr>
          <w:rFonts w:ascii="Georgia" w:hAnsi="Georgia"/>
          <w:sz w:val="22"/>
          <w:szCs w:val="22"/>
        </w:rPr>
        <w:t xml:space="preserve"> – Cisl, </w:t>
      </w:r>
      <w:proofErr w:type="spellStart"/>
      <w:r w:rsidR="00570A75" w:rsidRPr="00F95F5E">
        <w:rPr>
          <w:rFonts w:ascii="Georgia" w:hAnsi="Georgia"/>
          <w:sz w:val="22"/>
          <w:szCs w:val="22"/>
        </w:rPr>
        <w:t>Uiltec</w:t>
      </w:r>
      <w:proofErr w:type="spellEnd"/>
      <w:r w:rsidR="00570A75" w:rsidRPr="00F95F5E">
        <w:rPr>
          <w:rFonts w:ascii="Georgia" w:hAnsi="Georgia"/>
          <w:sz w:val="22"/>
          <w:szCs w:val="22"/>
        </w:rPr>
        <w:t xml:space="preserve"> – Uil </w:t>
      </w:r>
      <w:r w:rsidRPr="00F95F5E">
        <w:rPr>
          <w:rFonts w:ascii="Georgia" w:hAnsi="Georgia"/>
          <w:sz w:val="22"/>
          <w:szCs w:val="22"/>
        </w:rPr>
        <w:t>e Farmindustria</w:t>
      </w:r>
      <w:r w:rsidR="003A7429" w:rsidRPr="00F95F5E">
        <w:rPr>
          <w:rFonts w:ascii="Georgia" w:hAnsi="Georgia"/>
          <w:sz w:val="22"/>
          <w:szCs w:val="22"/>
        </w:rPr>
        <w:t xml:space="preserve"> si sono incontrate nell’</w:t>
      </w:r>
      <w:r w:rsidR="00490175" w:rsidRPr="00F95F5E">
        <w:rPr>
          <w:rFonts w:ascii="Georgia" w:hAnsi="Georgia"/>
          <w:sz w:val="22"/>
          <w:szCs w:val="22"/>
        </w:rPr>
        <w:t>ambito dell’</w:t>
      </w:r>
      <w:r w:rsidR="003A7429" w:rsidRPr="00F95F5E">
        <w:rPr>
          <w:rFonts w:ascii="Georgia" w:hAnsi="Georgia"/>
          <w:sz w:val="22"/>
          <w:szCs w:val="22"/>
        </w:rPr>
        <w:t>Osservatorio Farmaceutico, istituito nell’ultimo rinnovo del CCNL, per confrontarsi sull’evoluzione dell’industria farmaceutica in Italia e valutare le azioni necessarie ad assicurarne la crescita.</w:t>
      </w:r>
    </w:p>
    <w:p w:rsidR="003A7429" w:rsidRPr="00F95F5E" w:rsidRDefault="003A7429" w:rsidP="00F95F5E">
      <w:pPr>
        <w:spacing w:line="280" w:lineRule="exact"/>
        <w:ind w:left="142" w:right="849"/>
        <w:jc w:val="both"/>
        <w:rPr>
          <w:rFonts w:ascii="Georgia" w:hAnsi="Georgia"/>
          <w:sz w:val="22"/>
          <w:szCs w:val="22"/>
        </w:rPr>
      </w:pPr>
    </w:p>
    <w:p w:rsidR="003A7429" w:rsidRPr="00F95F5E" w:rsidRDefault="004A07F0" w:rsidP="00F95F5E">
      <w:pPr>
        <w:spacing w:line="280" w:lineRule="exact"/>
        <w:ind w:left="142" w:right="849"/>
        <w:jc w:val="both"/>
        <w:rPr>
          <w:rFonts w:ascii="Georgia" w:hAnsi="Georgia"/>
          <w:sz w:val="22"/>
          <w:szCs w:val="22"/>
        </w:rPr>
      </w:pPr>
      <w:r w:rsidRPr="00F95F5E">
        <w:rPr>
          <w:rFonts w:ascii="Georgia" w:hAnsi="Georgia"/>
          <w:sz w:val="22"/>
          <w:szCs w:val="22"/>
        </w:rPr>
        <w:t>Le positive Relazioni Industriali del settore sono da sempre un fattore di competitività. Grazie ad esse l</w:t>
      </w:r>
      <w:r w:rsidR="003A7429" w:rsidRPr="00F95F5E">
        <w:rPr>
          <w:rFonts w:ascii="Georgia" w:hAnsi="Georgia"/>
          <w:sz w:val="22"/>
          <w:szCs w:val="22"/>
        </w:rPr>
        <w:t>e imprese del farmaco</w:t>
      </w:r>
      <w:r w:rsidR="00032704">
        <w:rPr>
          <w:rFonts w:ascii="Georgia" w:hAnsi="Georgia"/>
          <w:sz w:val="22"/>
          <w:szCs w:val="22"/>
        </w:rPr>
        <w:t xml:space="preserve"> </w:t>
      </w:r>
      <w:r w:rsidR="003A7429" w:rsidRPr="00F95F5E">
        <w:rPr>
          <w:rFonts w:ascii="Georgia" w:hAnsi="Georgia"/>
          <w:sz w:val="22"/>
          <w:szCs w:val="22"/>
        </w:rPr>
        <w:t>si confermano un motore per l’ec</w:t>
      </w:r>
      <w:r w:rsidRPr="00F95F5E">
        <w:rPr>
          <w:rFonts w:ascii="Georgia" w:hAnsi="Georgia"/>
          <w:sz w:val="22"/>
          <w:szCs w:val="22"/>
        </w:rPr>
        <w:t>onomia italiana</w:t>
      </w:r>
      <w:r w:rsidR="003A7429" w:rsidRPr="00F95F5E">
        <w:rPr>
          <w:rFonts w:ascii="Georgia" w:hAnsi="Georgia"/>
          <w:sz w:val="22"/>
          <w:szCs w:val="22"/>
        </w:rPr>
        <w:t>, garantendo al Nord, al Centro e al Sud, crescita dell</w:t>
      </w:r>
      <w:r w:rsidR="00BC2E85" w:rsidRPr="00F95F5E">
        <w:rPr>
          <w:rFonts w:ascii="Georgia" w:hAnsi="Georgia"/>
          <w:sz w:val="22"/>
          <w:szCs w:val="22"/>
        </w:rPr>
        <w:t>a</w:t>
      </w:r>
      <w:r w:rsidR="003A7429" w:rsidRPr="00F95F5E">
        <w:rPr>
          <w:rFonts w:ascii="Georgia" w:hAnsi="Georgia"/>
          <w:sz w:val="22"/>
          <w:szCs w:val="22"/>
        </w:rPr>
        <w:t xml:space="preserve"> produzione, trainata al 100% dall’export, </w:t>
      </w:r>
      <w:r w:rsidR="00BC2E85" w:rsidRPr="00F95F5E">
        <w:rPr>
          <w:rFonts w:ascii="Georgia" w:hAnsi="Georgia"/>
          <w:sz w:val="22"/>
          <w:szCs w:val="22"/>
        </w:rPr>
        <w:t xml:space="preserve">degli </w:t>
      </w:r>
      <w:r w:rsidR="003A7429" w:rsidRPr="00F95F5E">
        <w:rPr>
          <w:rFonts w:ascii="Georgia" w:hAnsi="Georgia"/>
          <w:sz w:val="22"/>
          <w:szCs w:val="22"/>
        </w:rPr>
        <w:t>invest</w:t>
      </w:r>
      <w:r w:rsidR="00BC2E85" w:rsidRPr="00F95F5E">
        <w:rPr>
          <w:rFonts w:ascii="Georgia" w:hAnsi="Georgia"/>
          <w:sz w:val="22"/>
          <w:szCs w:val="22"/>
        </w:rPr>
        <w:t>imenti, de</w:t>
      </w:r>
      <w:r w:rsidR="003A7429" w:rsidRPr="00F95F5E">
        <w:rPr>
          <w:rFonts w:ascii="Georgia" w:hAnsi="Georgia"/>
          <w:sz w:val="22"/>
          <w:szCs w:val="22"/>
        </w:rPr>
        <w:t>ll’occupazione, in particolare per i giovani.</w:t>
      </w:r>
    </w:p>
    <w:p w:rsidR="003A7429" w:rsidRPr="00F95F5E" w:rsidRDefault="003A7429" w:rsidP="00F95F5E">
      <w:pPr>
        <w:spacing w:line="280" w:lineRule="exact"/>
        <w:ind w:left="142" w:right="849"/>
        <w:jc w:val="both"/>
        <w:rPr>
          <w:rFonts w:ascii="Georgia" w:hAnsi="Georgia"/>
          <w:sz w:val="22"/>
          <w:szCs w:val="22"/>
        </w:rPr>
      </w:pPr>
    </w:p>
    <w:p w:rsidR="005A04AE" w:rsidRDefault="005A04AE" w:rsidP="00F95F5E">
      <w:pPr>
        <w:spacing w:line="280" w:lineRule="exact"/>
        <w:ind w:left="142" w:right="849"/>
        <w:jc w:val="both"/>
        <w:rPr>
          <w:rFonts w:ascii="Georgia" w:hAnsi="Georgia"/>
          <w:sz w:val="22"/>
          <w:szCs w:val="22"/>
        </w:rPr>
      </w:pPr>
      <w:r w:rsidRPr="00F95F5E">
        <w:rPr>
          <w:rFonts w:ascii="Georgia" w:hAnsi="Georgia"/>
          <w:sz w:val="22"/>
          <w:szCs w:val="22"/>
        </w:rPr>
        <w:t>I processi innovativi</w:t>
      </w:r>
      <w:r w:rsidR="00BC2E85" w:rsidRPr="00F95F5E">
        <w:rPr>
          <w:rFonts w:ascii="Georgia" w:hAnsi="Georgia"/>
          <w:sz w:val="22"/>
          <w:szCs w:val="22"/>
        </w:rPr>
        <w:t xml:space="preserve"> </w:t>
      </w:r>
      <w:r w:rsidRPr="00F95F5E">
        <w:rPr>
          <w:rFonts w:ascii="Georgia" w:hAnsi="Georgia"/>
          <w:sz w:val="22"/>
          <w:szCs w:val="22"/>
        </w:rPr>
        <w:t xml:space="preserve">a livello internazionale </w:t>
      </w:r>
      <w:r w:rsidR="003A7429" w:rsidRPr="00F95F5E">
        <w:rPr>
          <w:rFonts w:ascii="Georgia" w:hAnsi="Georgia"/>
          <w:sz w:val="22"/>
          <w:szCs w:val="22"/>
        </w:rPr>
        <w:t>modifican</w:t>
      </w:r>
      <w:r w:rsidRPr="00F95F5E">
        <w:rPr>
          <w:rFonts w:ascii="Georgia" w:hAnsi="Georgia"/>
          <w:sz w:val="22"/>
          <w:szCs w:val="22"/>
        </w:rPr>
        <w:t>o radicalmente</w:t>
      </w:r>
      <w:r w:rsidR="003A7429" w:rsidRPr="00F95F5E">
        <w:rPr>
          <w:rFonts w:ascii="Georgia" w:hAnsi="Georgia"/>
          <w:sz w:val="22"/>
          <w:szCs w:val="22"/>
        </w:rPr>
        <w:t xml:space="preserve"> lo scenari</w:t>
      </w:r>
      <w:r w:rsidRPr="00F95F5E">
        <w:rPr>
          <w:rFonts w:ascii="Georgia" w:hAnsi="Georgia"/>
          <w:sz w:val="22"/>
          <w:szCs w:val="22"/>
        </w:rPr>
        <w:t xml:space="preserve">o di riferimento per il settore e richiedono un dialogo costante per interpretare al meglio i trend in atto </w:t>
      </w:r>
      <w:r w:rsidR="00BC2E85" w:rsidRPr="00F95F5E">
        <w:rPr>
          <w:rFonts w:ascii="Georgia" w:hAnsi="Georgia"/>
          <w:sz w:val="22"/>
          <w:szCs w:val="22"/>
        </w:rPr>
        <w:t>e</w:t>
      </w:r>
      <w:r w:rsidRPr="00F95F5E">
        <w:rPr>
          <w:rFonts w:ascii="Georgia" w:hAnsi="Georgia"/>
          <w:sz w:val="22"/>
          <w:szCs w:val="22"/>
        </w:rPr>
        <w:t xml:space="preserve"> trasform</w:t>
      </w:r>
      <w:r w:rsidR="00BC2E85" w:rsidRPr="00F95F5E">
        <w:rPr>
          <w:rFonts w:ascii="Georgia" w:hAnsi="Georgia"/>
          <w:sz w:val="22"/>
          <w:szCs w:val="22"/>
        </w:rPr>
        <w:t>arli in opportunità di sviluppo.</w:t>
      </w:r>
    </w:p>
    <w:p w:rsidR="005A04AE" w:rsidRDefault="005A04AE" w:rsidP="00F95F5E">
      <w:pPr>
        <w:spacing w:line="280" w:lineRule="exact"/>
        <w:ind w:left="142" w:right="849"/>
        <w:jc w:val="both"/>
        <w:rPr>
          <w:rFonts w:ascii="Georgia" w:hAnsi="Georgia"/>
          <w:sz w:val="22"/>
          <w:szCs w:val="22"/>
        </w:rPr>
      </w:pPr>
    </w:p>
    <w:p w:rsidR="005A04AE" w:rsidRPr="00F95F5E" w:rsidRDefault="004A07F0" w:rsidP="00F95F5E">
      <w:pPr>
        <w:spacing w:line="280" w:lineRule="exact"/>
        <w:ind w:left="142" w:right="849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L’Osservatorio Farmaceutico consolida un percorso per generare valore industriale</w:t>
      </w:r>
      <w:r w:rsidR="00D475AD">
        <w:rPr>
          <w:rFonts w:ascii="Georgia" w:hAnsi="Georgia"/>
          <w:sz w:val="22"/>
          <w:szCs w:val="22"/>
        </w:rPr>
        <w:t xml:space="preserve"> e si conferma uno strumento vincente per ra</w:t>
      </w:r>
      <w:r w:rsidR="00F432C8">
        <w:rPr>
          <w:rFonts w:ascii="Georgia" w:hAnsi="Georgia"/>
          <w:sz w:val="22"/>
          <w:szCs w:val="22"/>
        </w:rPr>
        <w:t>fforzare ulteriormente le iniziative congiunte</w:t>
      </w:r>
      <w:r w:rsidR="005A04AE">
        <w:rPr>
          <w:rFonts w:ascii="Georgia" w:hAnsi="Georgia"/>
          <w:sz w:val="22"/>
          <w:szCs w:val="22"/>
        </w:rPr>
        <w:t xml:space="preserve"> </w:t>
      </w:r>
      <w:r w:rsidR="00BC2E85">
        <w:rPr>
          <w:rFonts w:ascii="Georgia" w:hAnsi="Georgia"/>
          <w:sz w:val="22"/>
          <w:szCs w:val="22"/>
        </w:rPr>
        <w:t>sul</w:t>
      </w:r>
      <w:r w:rsidR="001C094B">
        <w:rPr>
          <w:rFonts w:ascii="Georgia" w:hAnsi="Georgia"/>
          <w:sz w:val="22"/>
          <w:szCs w:val="22"/>
        </w:rPr>
        <w:t>l’</w:t>
      </w:r>
      <w:r w:rsidR="005A04AE">
        <w:rPr>
          <w:rFonts w:ascii="Georgia" w:hAnsi="Georgia"/>
          <w:sz w:val="22"/>
          <w:szCs w:val="22"/>
        </w:rPr>
        <w:t>e</w:t>
      </w:r>
      <w:r w:rsidR="00BC2E85">
        <w:rPr>
          <w:rFonts w:ascii="Georgia" w:hAnsi="Georgia"/>
          <w:sz w:val="22"/>
          <w:szCs w:val="22"/>
        </w:rPr>
        <w:t>voluzione delle competenz</w:t>
      </w:r>
      <w:r w:rsidR="00F432C8">
        <w:rPr>
          <w:rFonts w:ascii="Georgia" w:hAnsi="Georgia"/>
          <w:sz w:val="22"/>
          <w:szCs w:val="22"/>
        </w:rPr>
        <w:t xml:space="preserve">e, </w:t>
      </w:r>
      <w:r w:rsidR="00BC2E85">
        <w:rPr>
          <w:rFonts w:ascii="Georgia" w:hAnsi="Georgia"/>
          <w:sz w:val="22"/>
          <w:szCs w:val="22"/>
        </w:rPr>
        <w:t xml:space="preserve">il </w:t>
      </w:r>
      <w:r w:rsidR="00F432C8" w:rsidRPr="00F95F5E">
        <w:rPr>
          <w:rFonts w:ascii="Georgia" w:hAnsi="Georgia"/>
          <w:sz w:val="22"/>
          <w:szCs w:val="22"/>
        </w:rPr>
        <w:t xml:space="preserve">miglioramento del </w:t>
      </w:r>
      <w:r w:rsidR="005A04AE" w:rsidRPr="00F95F5E">
        <w:rPr>
          <w:rFonts w:ascii="Georgia" w:hAnsi="Georgia"/>
          <w:sz w:val="22"/>
          <w:szCs w:val="22"/>
        </w:rPr>
        <w:t>raccordo tra figure professionali richieste e i percorsi formativi</w:t>
      </w:r>
      <w:r w:rsidR="00981D6E" w:rsidRPr="00F95F5E">
        <w:rPr>
          <w:rFonts w:ascii="Georgia" w:hAnsi="Georgia"/>
          <w:sz w:val="22"/>
          <w:szCs w:val="22"/>
        </w:rPr>
        <w:t xml:space="preserve">. E ancora: </w:t>
      </w:r>
      <w:r w:rsidR="005A04AE" w:rsidRPr="00F95F5E">
        <w:rPr>
          <w:rFonts w:ascii="Georgia" w:hAnsi="Georgia"/>
          <w:sz w:val="22"/>
          <w:szCs w:val="22"/>
        </w:rPr>
        <w:t xml:space="preserve">il ricambio generazionale e l’occupazione dei giovani, la cultura della </w:t>
      </w:r>
      <w:proofErr w:type="spellStart"/>
      <w:r w:rsidR="005A04AE" w:rsidRPr="00F95F5E">
        <w:rPr>
          <w:rFonts w:ascii="Georgia" w:hAnsi="Georgia"/>
          <w:i/>
          <w:sz w:val="22"/>
          <w:szCs w:val="22"/>
        </w:rPr>
        <w:t>Diversity</w:t>
      </w:r>
      <w:proofErr w:type="spellEnd"/>
      <w:r w:rsidR="005A04AE" w:rsidRPr="00F95F5E">
        <w:rPr>
          <w:rFonts w:ascii="Georgia" w:hAnsi="Georgia"/>
          <w:sz w:val="22"/>
          <w:szCs w:val="22"/>
        </w:rPr>
        <w:t xml:space="preserve"> per la promozione della salute</w:t>
      </w:r>
      <w:r w:rsidR="00F432C8" w:rsidRPr="00F95F5E">
        <w:rPr>
          <w:rFonts w:ascii="Georgia" w:hAnsi="Georgia"/>
          <w:sz w:val="22"/>
          <w:szCs w:val="22"/>
        </w:rPr>
        <w:t xml:space="preserve"> dei lavoratori</w:t>
      </w:r>
      <w:r w:rsidR="005A04AE" w:rsidRPr="00F95F5E">
        <w:rPr>
          <w:rFonts w:ascii="Georgia" w:hAnsi="Georgia"/>
          <w:sz w:val="22"/>
          <w:szCs w:val="22"/>
        </w:rPr>
        <w:t>, il ru</w:t>
      </w:r>
      <w:r w:rsidR="00F432C8" w:rsidRPr="00F95F5E">
        <w:rPr>
          <w:rFonts w:ascii="Georgia" w:hAnsi="Georgia"/>
          <w:sz w:val="22"/>
          <w:szCs w:val="22"/>
        </w:rPr>
        <w:t xml:space="preserve">olo fondamentale della ricerca – </w:t>
      </w:r>
      <w:r w:rsidR="005A04AE" w:rsidRPr="00F95F5E">
        <w:rPr>
          <w:rFonts w:ascii="Georgia" w:hAnsi="Georgia"/>
          <w:sz w:val="22"/>
          <w:szCs w:val="22"/>
        </w:rPr>
        <w:t>sempre più indirizzata verso gli studi clinici</w:t>
      </w:r>
      <w:r w:rsidR="00F432C8" w:rsidRPr="00F95F5E">
        <w:rPr>
          <w:rFonts w:ascii="Georgia" w:hAnsi="Georgia"/>
          <w:sz w:val="22"/>
          <w:szCs w:val="22"/>
        </w:rPr>
        <w:t xml:space="preserve"> –</w:t>
      </w:r>
      <w:r w:rsidR="005A04AE" w:rsidRPr="00F95F5E">
        <w:rPr>
          <w:rFonts w:ascii="Georgia" w:hAnsi="Georgia"/>
          <w:sz w:val="22"/>
          <w:szCs w:val="22"/>
        </w:rPr>
        <w:t xml:space="preserve"> </w:t>
      </w:r>
      <w:r w:rsidR="00F432C8" w:rsidRPr="00F95F5E">
        <w:rPr>
          <w:rFonts w:ascii="Georgia" w:hAnsi="Georgia"/>
          <w:sz w:val="22"/>
          <w:szCs w:val="22"/>
        </w:rPr>
        <w:t xml:space="preserve">e </w:t>
      </w:r>
      <w:r w:rsidR="005A04AE" w:rsidRPr="00F95F5E">
        <w:rPr>
          <w:rFonts w:ascii="Georgia" w:hAnsi="Georgia"/>
          <w:sz w:val="22"/>
          <w:szCs w:val="22"/>
        </w:rPr>
        <w:t>la sostenibilità ambientale.</w:t>
      </w:r>
    </w:p>
    <w:p w:rsidR="001C094B" w:rsidRPr="00F95F5E" w:rsidRDefault="001C094B" w:rsidP="00F95F5E">
      <w:pPr>
        <w:spacing w:line="280" w:lineRule="exact"/>
        <w:ind w:left="142" w:right="849"/>
        <w:jc w:val="both"/>
        <w:rPr>
          <w:rFonts w:ascii="Georgia" w:hAnsi="Georgia"/>
          <w:sz w:val="22"/>
          <w:szCs w:val="22"/>
        </w:rPr>
      </w:pPr>
    </w:p>
    <w:p w:rsidR="00397E60" w:rsidRDefault="001C094B" w:rsidP="00F95F5E">
      <w:pPr>
        <w:spacing w:line="280" w:lineRule="exact"/>
        <w:ind w:left="142" w:right="849"/>
        <w:jc w:val="both"/>
        <w:rPr>
          <w:rFonts w:ascii="Georgia" w:hAnsi="Georgia"/>
          <w:sz w:val="22"/>
          <w:szCs w:val="22"/>
        </w:rPr>
      </w:pPr>
      <w:r w:rsidRPr="00F95F5E">
        <w:rPr>
          <w:rFonts w:ascii="Georgia" w:hAnsi="Georgia"/>
          <w:sz w:val="22"/>
          <w:szCs w:val="22"/>
        </w:rPr>
        <w:t xml:space="preserve">Le Organizzazioni Sindacali e Farmindustria </w:t>
      </w:r>
      <w:r w:rsidR="00F432C8" w:rsidRPr="00F95F5E">
        <w:rPr>
          <w:rFonts w:ascii="Georgia" w:hAnsi="Georgia"/>
          <w:sz w:val="22"/>
          <w:szCs w:val="22"/>
        </w:rPr>
        <w:t xml:space="preserve">condividono </w:t>
      </w:r>
      <w:r w:rsidRPr="00F95F5E">
        <w:rPr>
          <w:rFonts w:ascii="Georgia" w:hAnsi="Georgia"/>
          <w:sz w:val="22"/>
          <w:szCs w:val="22"/>
        </w:rPr>
        <w:t xml:space="preserve">l’importanza </w:t>
      </w:r>
      <w:r w:rsidR="00D475AD" w:rsidRPr="00F95F5E">
        <w:rPr>
          <w:rFonts w:ascii="Georgia" w:hAnsi="Georgia"/>
          <w:sz w:val="22"/>
          <w:szCs w:val="22"/>
        </w:rPr>
        <w:t>di valutare l’</w:t>
      </w:r>
      <w:r w:rsidRPr="00F95F5E">
        <w:rPr>
          <w:rFonts w:ascii="Georgia" w:hAnsi="Georgia"/>
          <w:sz w:val="22"/>
          <w:szCs w:val="22"/>
        </w:rPr>
        <w:t xml:space="preserve">impatto delle normative </w:t>
      </w:r>
      <w:r w:rsidR="00F432C8" w:rsidRPr="00F95F5E">
        <w:rPr>
          <w:rFonts w:ascii="Georgia" w:hAnsi="Georgia"/>
          <w:sz w:val="22"/>
          <w:szCs w:val="22"/>
        </w:rPr>
        <w:t xml:space="preserve">per </w:t>
      </w:r>
      <w:r w:rsidRPr="00F95F5E">
        <w:rPr>
          <w:rFonts w:ascii="Georgia" w:hAnsi="Georgia"/>
          <w:sz w:val="22"/>
          <w:szCs w:val="22"/>
        </w:rPr>
        <w:t>la competitività dell’industria.</w:t>
      </w:r>
      <w:r w:rsidR="00D475AD" w:rsidRPr="00F95F5E">
        <w:rPr>
          <w:rFonts w:ascii="Georgia" w:hAnsi="Georgia"/>
          <w:sz w:val="22"/>
          <w:szCs w:val="22"/>
        </w:rPr>
        <w:t xml:space="preserve"> </w:t>
      </w:r>
      <w:r w:rsidRPr="00F95F5E">
        <w:rPr>
          <w:rFonts w:ascii="Georgia" w:hAnsi="Georgia"/>
          <w:sz w:val="22"/>
          <w:szCs w:val="22"/>
        </w:rPr>
        <w:t>La farmaceutica infatti è tra i settori più regolati in assoluto</w:t>
      </w:r>
      <w:r w:rsidR="00397E60">
        <w:rPr>
          <w:rFonts w:ascii="Georgia" w:hAnsi="Georgia"/>
          <w:sz w:val="22"/>
          <w:szCs w:val="22"/>
        </w:rPr>
        <w:t xml:space="preserve"> e per questo è</w:t>
      </w:r>
      <w:r w:rsidRPr="00F95F5E">
        <w:rPr>
          <w:rFonts w:ascii="Georgia" w:hAnsi="Georgia"/>
          <w:sz w:val="22"/>
          <w:szCs w:val="22"/>
        </w:rPr>
        <w:t xml:space="preserve"> </w:t>
      </w:r>
      <w:r w:rsidR="00981D6E" w:rsidRPr="00F95F5E">
        <w:rPr>
          <w:rFonts w:ascii="Georgia" w:hAnsi="Georgia"/>
          <w:sz w:val="22"/>
          <w:szCs w:val="22"/>
        </w:rPr>
        <w:t>n</w:t>
      </w:r>
      <w:r w:rsidRPr="00F95F5E">
        <w:rPr>
          <w:rFonts w:ascii="Georgia" w:hAnsi="Georgia"/>
          <w:sz w:val="22"/>
          <w:szCs w:val="22"/>
        </w:rPr>
        <w:t>ecessario considerare le ricadute di ogni provvedi</w:t>
      </w:r>
      <w:r w:rsidR="00397E60">
        <w:rPr>
          <w:rFonts w:ascii="Georgia" w:hAnsi="Georgia"/>
          <w:sz w:val="22"/>
          <w:szCs w:val="22"/>
        </w:rPr>
        <w:t xml:space="preserve">mento sulle imprese, perché </w:t>
      </w:r>
      <w:r w:rsidRPr="00F95F5E">
        <w:rPr>
          <w:rFonts w:ascii="Georgia" w:hAnsi="Georgia"/>
          <w:sz w:val="22"/>
          <w:szCs w:val="22"/>
        </w:rPr>
        <w:t>le politiche sanitarie sono anche politiche industriali</w:t>
      </w:r>
      <w:r w:rsidR="00F95F5E" w:rsidRPr="00F95F5E">
        <w:rPr>
          <w:rFonts w:ascii="Georgia" w:hAnsi="Georgia"/>
          <w:sz w:val="22"/>
          <w:szCs w:val="22"/>
        </w:rPr>
        <w:t>.</w:t>
      </w:r>
    </w:p>
    <w:p w:rsidR="00397E60" w:rsidRDefault="00397E60" w:rsidP="00F95F5E">
      <w:pPr>
        <w:spacing w:line="280" w:lineRule="exact"/>
        <w:ind w:left="142" w:right="849"/>
        <w:jc w:val="both"/>
        <w:rPr>
          <w:rFonts w:ascii="Georgia" w:hAnsi="Georgia"/>
          <w:sz w:val="22"/>
          <w:szCs w:val="22"/>
        </w:rPr>
      </w:pPr>
    </w:p>
    <w:p w:rsidR="004B0CAC" w:rsidRDefault="00032704" w:rsidP="00F95F5E">
      <w:pPr>
        <w:spacing w:line="280" w:lineRule="exact"/>
        <w:ind w:left="142" w:right="849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Le Parti Sociali auspicano che sia recepito </w:t>
      </w:r>
      <w:r w:rsidR="00490175" w:rsidRPr="00F95F5E">
        <w:rPr>
          <w:rFonts w:ascii="Georgia" w:hAnsi="Georgia"/>
          <w:sz w:val="22"/>
          <w:szCs w:val="22"/>
        </w:rPr>
        <w:t xml:space="preserve">in </w:t>
      </w:r>
      <w:r>
        <w:rPr>
          <w:rFonts w:ascii="Georgia" w:hAnsi="Georgia"/>
          <w:sz w:val="22"/>
          <w:szCs w:val="22"/>
        </w:rPr>
        <w:t xml:space="preserve">una </w:t>
      </w:r>
      <w:r w:rsidR="00490175" w:rsidRPr="00F95F5E">
        <w:rPr>
          <w:rFonts w:ascii="Georgia" w:hAnsi="Georgia"/>
          <w:sz w:val="22"/>
          <w:szCs w:val="22"/>
        </w:rPr>
        <w:t xml:space="preserve">norma </w:t>
      </w:r>
      <w:r w:rsidR="00D475AD" w:rsidRPr="00F95F5E">
        <w:rPr>
          <w:rFonts w:ascii="Georgia" w:hAnsi="Georgia"/>
          <w:sz w:val="22"/>
          <w:szCs w:val="22"/>
        </w:rPr>
        <w:t>quanto previsto dall’Accordo</w:t>
      </w:r>
      <w:r>
        <w:rPr>
          <w:rFonts w:ascii="Georgia" w:hAnsi="Georgia"/>
          <w:sz w:val="22"/>
          <w:szCs w:val="22"/>
        </w:rPr>
        <w:t xml:space="preserve"> tra Farmindustria e Regioni</w:t>
      </w:r>
      <w:r w:rsidR="00CC6979">
        <w:rPr>
          <w:rFonts w:ascii="Georgia" w:hAnsi="Georgia"/>
          <w:sz w:val="22"/>
          <w:szCs w:val="22"/>
        </w:rPr>
        <w:t xml:space="preserve"> sul </w:t>
      </w:r>
      <w:r w:rsidR="00CC6979" w:rsidRPr="00CC6979">
        <w:rPr>
          <w:rFonts w:ascii="Georgia" w:hAnsi="Georgia"/>
          <w:i/>
          <w:sz w:val="22"/>
          <w:szCs w:val="22"/>
        </w:rPr>
        <w:t>payback</w:t>
      </w:r>
      <w:r w:rsidR="00D475AD" w:rsidRPr="00F95F5E">
        <w:rPr>
          <w:rFonts w:ascii="Georgia" w:hAnsi="Georgia"/>
          <w:sz w:val="22"/>
          <w:szCs w:val="22"/>
        </w:rPr>
        <w:t xml:space="preserve">, </w:t>
      </w:r>
      <w:r>
        <w:rPr>
          <w:rFonts w:ascii="Georgia" w:hAnsi="Georgia"/>
          <w:sz w:val="22"/>
          <w:szCs w:val="22"/>
        </w:rPr>
        <w:t xml:space="preserve">adeguando i tetti di spesa </w:t>
      </w:r>
      <w:r w:rsidR="00F432C8" w:rsidRPr="00F95F5E">
        <w:rPr>
          <w:rFonts w:ascii="Georgia" w:hAnsi="Georgia"/>
          <w:sz w:val="22"/>
          <w:szCs w:val="22"/>
        </w:rPr>
        <w:t>a</w:t>
      </w:r>
      <w:r>
        <w:rPr>
          <w:rFonts w:ascii="Georgia" w:hAnsi="Georgia"/>
          <w:sz w:val="22"/>
          <w:szCs w:val="22"/>
        </w:rPr>
        <w:t>lla domanda effettiva e all’arrivo dei farmaci innovativi</w:t>
      </w:r>
      <w:r w:rsidR="00CC6979">
        <w:rPr>
          <w:rFonts w:ascii="Georgia" w:hAnsi="Georgia"/>
          <w:sz w:val="22"/>
          <w:szCs w:val="22"/>
        </w:rPr>
        <w:t>.</w:t>
      </w:r>
      <w:r>
        <w:rPr>
          <w:rFonts w:ascii="Georgia" w:hAnsi="Georgia"/>
          <w:sz w:val="22"/>
          <w:szCs w:val="22"/>
        </w:rPr>
        <w:t xml:space="preserve"> </w:t>
      </w:r>
      <w:r w:rsidR="00CC6979">
        <w:rPr>
          <w:rFonts w:ascii="Georgia" w:hAnsi="Georgia"/>
          <w:sz w:val="22"/>
          <w:szCs w:val="22"/>
        </w:rPr>
        <w:t>E</w:t>
      </w:r>
      <w:r w:rsidR="00BC2E85" w:rsidRPr="00F95F5E">
        <w:rPr>
          <w:rFonts w:ascii="Georgia" w:hAnsi="Georgia"/>
          <w:sz w:val="22"/>
          <w:szCs w:val="22"/>
        </w:rPr>
        <w:t xml:space="preserve"> </w:t>
      </w:r>
      <w:r w:rsidR="00CC6979">
        <w:rPr>
          <w:rFonts w:ascii="Georgia" w:hAnsi="Georgia"/>
          <w:sz w:val="22"/>
          <w:szCs w:val="22"/>
        </w:rPr>
        <w:t xml:space="preserve">condividono la necessità di un percorso di </w:t>
      </w:r>
      <w:r w:rsidR="00CC6979" w:rsidRPr="00CC6979">
        <w:rPr>
          <w:rFonts w:ascii="Georgia" w:hAnsi="Georgia"/>
          <w:i/>
          <w:sz w:val="22"/>
          <w:szCs w:val="22"/>
        </w:rPr>
        <w:t>governance</w:t>
      </w:r>
      <w:r>
        <w:rPr>
          <w:rFonts w:ascii="Georgia" w:hAnsi="Georgia"/>
          <w:sz w:val="22"/>
          <w:szCs w:val="22"/>
        </w:rPr>
        <w:t xml:space="preserve"> tra Istituzioni, Industria e Sindacato</w:t>
      </w:r>
      <w:r w:rsidR="00BC2E85" w:rsidRPr="00F95F5E">
        <w:rPr>
          <w:rFonts w:ascii="Georgia" w:hAnsi="Georgia"/>
          <w:sz w:val="22"/>
          <w:szCs w:val="22"/>
        </w:rPr>
        <w:t xml:space="preserve">, </w:t>
      </w:r>
      <w:r w:rsidR="00F432C8" w:rsidRPr="00F95F5E">
        <w:rPr>
          <w:rFonts w:ascii="Georgia" w:hAnsi="Georgia"/>
          <w:sz w:val="22"/>
          <w:szCs w:val="22"/>
        </w:rPr>
        <w:t>per</w:t>
      </w:r>
      <w:r w:rsidR="00BC2E85" w:rsidRPr="00F95F5E">
        <w:rPr>
          <w:rFonts w:ascii="Georgia" w:hAnsi="Georgia"/>
          <w:sz w:val="22"/>
          <w:szCs w:val="22"/>
        </w:rPr>
        <w:t xml:space="preserve"> assicurare uno scenario certo e favorevole </w:t>
      </w:r>
      <w:r w:rsidR="004A07F0" w:rsidRPr="00F95F5E">
        <w:rPr>
          <w:rFonts w:ascii="Georgia" w:hAnsi="Georgia"/>
          <w:sz w:val="22"/>
          <w:szCs w:val="22"/>
        </w:rPr>
        <w:t>a</w:t>
      </w:r>
      <w:r w:rsidR="00BC2E85" w:rsidRPr="00F95F5E">
        <w:rPr>
          <w:rFonts w:ascii="Georgia" w:hAnsi="Georgia"/>
          <w:sz w:val="22"/>
          <w:szCs w:val="22"/>
        </w:rPr>
        <w:t xml:space="preserve">gli investimenti e </w:t>
      </w:r>
      <w:r w:rsidR="00490175" w:rsidRPr="00F95F5E">
        <w:rPr>
          <w:rFonts w:ascii="Georgia" w:hAnsi="Georgia"/>
          <w:sz w:val="22"/>
          <w:szCs w:val="22"/>
        </w:rPr>
        <w:t>al</w:t>
      </w:r>
      <w:r w:rsidR="00BC2E85" w:rsidRPr="00F95F5E">
        <w:rPr>
          <w:rFonts w:ascii="Georgia" w:hAnsi="Georgia"/>
          <w:sz w:val="22"/>
          <w:szCs w:val="22"/>
        </w:rPr>
        <w:t>l’occupazione</w:t>
      </w:r>
      <w:r w:rsidR="00F432C8" w:rsidRPr="00F95F5E">
        <w:rPr>
          <w:rFonts w:ascii="Georgia" w:hAnsi="Georgia"/>
          <w:sz w:val="22"/>
          <w:szCs w:val="22"/>
        </w:rPr>
        <w:t>.</w:t>
      </w:r>
    </w:p>
    <w:sectPr w:rsidR="004B0CAC" w:rsidSect="00693FC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  <w:numStart w:val="2"/>
      </w:endnotePr>
      <w:pgSz w:w="11906" w:h="16838" w:code="9"/>
      <w:pgMar w:top="2835" w:right="1134" w:bottom="1418" w:left="1985" w:header="102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630" w:rsidRDefault="00B43630">
      <w:r>
        <w:separator/>
      </w:r>
    </w:p>
  </w:endnote>
  <w:endnote w:type="continuationSeparator" w:id="0">
    <w:p w:rsidR="00B43630" w:rsidRDefault="00B43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rint-G1Regular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Imprint-G1Italic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E03" w:rsidRDefault="00426E03">
    <w:pPr>
      <w:pStyle w:val="Pidipagina"/>
      <w:framePr w:wrap="around" w:vAnchor="text" w:hAnchor="margin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426E03" w:rsidRDefault="00426E03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E03" w:rsidRDefault="00426E03">
    <w:pPr>
      <w:pStyle w:val="Pidipagina"/>
      <w:framePr w:w="634" w:wrap="around" w:vAnchor="text" w:hAnchor="page" w:x="1788" w:y="86"/>
      <w:ind w:left="180" w:right="-2940"/>
      <w:rPr>
        <w:rStyle w:val="Numeropagina"/>
        <w:rFonts w:ascii="Arial" w:hAnsi="Arial"/>
        <w:sz w:val="20"/>
      </w:rPr>
    </w:pPr>
    <w:r>
      <w:rPr>
        <w:rStyle w:val="Numeropagina"/>
        <w:rFonts w:ascii="Arial" w:hAnsi="Arial"/>
        <w:sz w:val="20"/>
      </w:rPr>
      <w:fldChar w:fldCharType="begin"/>
    </w:r>
    <w:r>
      <w:rPr>
        <w:rStyle w:val="Numeropagina"/>
        <w:rFonts w:ascii="Arial" w:hAnsi="Arial"/>
        <w:sz w:val="20"/>
      </w:rPr>
      <w:instrText xml:space="preserve">PAGE  </w:instrText>
    </w:r>
    <w:r>
      <w:rPr>
        <w:rStyle w:val="Numeropagina"/>
        <w:rFonts w:ascii="Arial" w:hAnsi="Arial"/>
        <w:sz w:val="20"/>
      </w:rPr>
      <w:fldChar w:fldCharType="separate"/>
    </w:r>
    <w:r w:rsidR="00032704">
      <w:rPr>
        <w:rStyle w:val="Numeropagina"/>
        <w:rFonts w:ascii="Arial" w:hAnsi="Arial"/>
        <w:noProof/>
        <w:sz w:val="20"/>
      </w:rPr>
      <w:t>2</w:t>
    </w:r>
    <w:r>
      <w:rPr>
        <w:rStyle w:val="Numeropagina"/>
        <w:rFonts w:ascii="Arial" w:hAnsi="Arial"/>
        <w:sz w:val="20"/>
      </w:rPr>
      <w:fldChar w:fldCharType="end"/>
    </w:r>
  </w:p>
  <w:p w:rsidR="00426E03" w:rsidRDefault="00426E03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E03" w:rsidRDefault="00426E03" w:rsidP="00693FC7">
    <w:pPr>
      <w:pStyle w:val="Pidipagina"/>
      <w:spacing w:line="18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630" w:rsidRDefault="00B43630">
      <w:r>
        <w:separator/>
      </w:r>
    </w:p>
  </w:footnote>
  <w:footnote w:type="continuationSeparator" w:id="0">
    <w:p w:rsidR="00B43630" w:rsidRDefault="00B436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E03" w:rsidRDefault="00F95F5E" w:rsidP="00F95F5E">
    <w:pPr>
      <w:pStyle w:val="Intestazione"/>
      <w:ind w:left="-709"/>
    </w:pPr>
    <w:r>
      <w:rPr>
        <w:noProof/>
      </w:rPr>
      <w:drawing>
        <wp:inline distT="0" distB="0" distL="0" distR="0">
          <wp:extent cx="5600700" cy="80010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F5E" w:rsidRDefault="00F95F5E" w:rsidP="00F95F5E">
    <w:pPr>
      <w:pStyle w:val="Intestazione"/>
      <w:ind w:left="-851"/>
    </w:pPr>
    <w:r>
      <w:rPr>
        <w:noProof/>
      </w:rPr>
      <w:drawing>
        <wp:inline distT="0" distB="0" distL="0" distR="0">
          <wp:extent cx="5600700" cy="80010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26B1F"/>
    <w:multiLevelType w:val="hybridMultilevel"/>
    <w:tmpl w:val="A07E9ED0"/>
    <w:lvl w:ilvl="0" w:tplc="047A0E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CFD8133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A484CE5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89F4C46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9D8EC3D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BB1839D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9000F82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F02EA1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8C227C0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A3A0EA0"/>
    <w:multiLevelType w:val="hybridMultilevel"/>
    <w:tmpl w:val="058AD78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140CDD"/>
    <w:multiLevelType w:val="hybridMultilevel"/>
    <w:tmpl w:val="678E391A"/>
    <w:lvl w:ilvl="0" w:tplc="DDA6A9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3C3D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52094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6C12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F002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D18D1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8A77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C201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3C208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E4A2F"/>
    <w:multiLevelType w:val="hybridMultilevel"/>
    <w:tmpl w:val="84588E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279E2"/>
    <w:multiLevelType w:val="hybridMultilevel"/>
    <w:tmpl w:val="49B062F2"/>
    <w:lvl w:ilvl="0" w:tplc="79A079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C4F1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BE9E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784D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6A8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A855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E213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CE66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4E2C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9549F4"/>
    <w:multiLevelType w:val="hybridMultilevel"/>
    <w:tmpl w:val="87728A06"/>
    <w:lvl w:ilvl="0" w:tplc="04100001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CF03E8"/>
    <w:multiLevelType w:val="hybridMultilevel"/>
    <w:tmpl w:val="1F7C25AA"/>
    <w:lvl w:ilvl="0" w:tplc="A3CC6C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920F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1E4B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D0B2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48E3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3A4C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BE6D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AAA3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6C68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71108B"/>
    <w:multiLevelType w:val="hybridMultilevel"/>
    <w:tmpl w:val="93CC83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F6B3F"/>
    <w:multiLevelType w:val="hybridMultilevel"/>
    <w:tmpl w:val="0882DC1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10429F"/>
    <w:multiLevelType w:val="hybridMultilevel"/>
    <w:tmpl w:val="20524C6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A626D7"/>
    <w:multiLevelType w:val="hybridMultilevel"/>
    <w:tmpl w:val="83F27B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8A1BD5"/>
    <w:multiLevelType w:val="hybridMultilevel"/>
    <w:tmpl w:val="BE2C376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361AC5"/>
    <w:multiLevelType w:val="hybridMultilevel"/>
    <w:tmpl w:val="7D7C9318"/>
    <w:lvl w:ilvl="0" w:tplc="59A0D4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B0C7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E20F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569D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4688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4A08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142A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F6B8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8C94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C1A6D"/>
    <w:multiLevelType w:val="hybridMultilevel"/>
    <w:tmpl w:val="C8481EAE"/>
    <w:lvl w:ilvl="0" w:tplc="622A61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E4D0A6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6C3DEC"/>
    <w:multiLevelType w:val="hybridMultilevel"/>
    <w:tmpl w:val="C53E6C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EB31F54"/>
    <w:multiLevelType w:val="hybridMultilevel"/>
    <w:tmpl w:val="BC9E86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2"/>
  </w:num>
  <w:num w:numId="5">
    <w:abstractNumId w:val="4"/>
  </w:num>
  <w:num w:numId="6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8"/>
  </w:num>
  <w:num w:numId="10">
    <w:abstractNumId w:val="14"/>
  </w:num>
  <w:num w:numId="11">
    <w:abstractNumId w:val="1"/>
  </w:num>
  <w:num w:numId="12">
    <w:abstractNumId w:val="7"/>
  </w:num>
  <w:num w:numId="13">
    <w:abstractNumId w:val="9"/>
  </w:num>
  <w:num w:numId="14">
    <w:abstractNumId w:val="11"/>
  </w:num>
  <w:num w:numId="15">
    <w:abstractNumId w:val="3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it-IT" w:vendorID="64" w:dllVersion="131078" w:nlCheck="1" w:checkStyle="0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numStart w:val="2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CB6"/>
    <w:rsid w:val="00010124"/>
    <w:rsid w:val="00013CF6"/>
    <w:rsid w:val="000206BD"/>
    <w:rsid w:val="000212FD"/>
    <w:rsid w:val="00023826"/>
    <w:rsid w:val="000270BC"/>
    <w:rsid w:val="00032704"/>
    <w:rsid w:val="00034F52"/>
    <w:rsid w:val="0004576B"/>
    <w:rsid w:val="00046661"/>
    <w:rsid w:val="000562C7"/>
    <w:rsid w:val="00057540"/>
    <w:rsid w:val="00057F0F"/>
    <w:rsid w:val="000627DC"/>
    <w:rsid w:val="000651C3"/>
    <w:rsid w:val="00065D1E"/>
    <w:rsid w:val="000728DD"/>
    <w:rsid w:val="000856E7"/>
    <w:rsid w:val="000A4ECB"/>
    <w:rsid w:val="000A55E8"/>
    <w:rsid w:val="000A74D5"/>
    <w:rsid w:val="000B3820"/>
    <w:rsid w:val="000B5290"/>
    <w:rsid w:val="000B7B9E"/>
    <w:rsid w:val="000C7D30"/>
    <w:rsid w:val="000D03B7"/>
    <w:rsid w:val="000D39F6"/>
    <w:rsid w:val="000D68E5"/>
    <w:rsid w:val="000E2441"/>
    <w:rsid w:val="000E5A93"/>
    <w:rsid w:val="000F012D"/>
    <w:rsid w:val="00101FF1"/>
    <w:rsid w:val="001021C9"/>
    <w:rsid w:val="0010451D"/>
    <w:rsid w:val="0010471B"/>
    <w:rsid w:val="001060D6"/>
    <w:rsid w:val="00110424"/>
    <w:rsid w:val="0011194E"/>
    <w:rsid w:val="0012421E"/>
    <w:rsid w:val="00127B14"/>
    <w:rsid w:val="00131606"/>
    <w:rsid w:val="0013288F"/>
    <w:rsid w:val="00144BB5"/>
    <w:rsid w:val="00147C2B"/>
    <w:rsid w:val="00150C9C"/>
    <w:rsid w:val="00153F7E"/>
    <w:rsid w:val="001550CC"/>
    <w:rsid w:val="001565FF"/>
    <w:rsid w:val="001600D5"/>
    <w:rsid w:val="00167D4B"/>
    <w:rsid w:val="001871EC"/>
    <w:rsid w:val="00191E78"/>
    <w:rsid w:val="001A0C48"/>
    <w:rsid w:val="001A45CD"/>
    <w:rsid w:val="001C094B"/>
    <w:rsid w:val="001C5B5C"/>
    <w:rsid w:val="001D63C9"/>
    <w:rsid w:val="001E0CC3"/>
    <w:rsid w:val="001E3BF3"/>
    <w:rsid w:val="001E4839"/>
    <w:rsid w:val="001F2D48"/>
    <w:rsid w:val="001F5349"/>
    <w:rsid w:val="002015D4"/>
    <w:rsid w:val="0020350D"/>
    <w:rsid w:val="00210ACD"/>
    <w:rsid w:val="00214B5F"/>
    <w:rsid w:val="00220A94"/>
    <w:rsid w:val="00245C27"/>
    <w:rsid w:val="00246453"/>
    <w:rsid w:val="002476B8"/>
    <w:rsid w:val="00255BF4"/>
    <w:rsid w:val="002641C3"/>
    <w:rsid w:val="002722C6"/>
    <w:rsid w:val="0028068E"/>
    <w:rsid w:val="002806B5"/>
    <w:rsid w:val="00287827"/>
    <w:rsid w:val="002934EB"/>
    <w:rsid w:val="002968AD"/>
    <w:rsid w:val="002972B1"/>
    <w:rsid w:val="002A2080"/>
    <w:rsid w:val="002A258E"/>
    <w:rsid w:val="002A329C"/>
    <w:rsid w:val="002D53A6"/>
    <w:rsid w:val="002E1885"/>
    <w:rsid w:val="002E1AF6"/>
    <w:rsid w:val="003006E1"/>
    <w:rsid w:val="00306C99"/>
    <w:rsid w:val="003140E8"/>
    <w:rsid w:val="00315F2C"/>
    <w:rsid w:val="00317000"/>
    <w:rsid w:val="0032395D"/>
    <w:rsid w:val="003257AA"/>
    <w:rsid w:val="003319A6"/>
    <w:rsid w:val="00336503"/>
    <w:rsid w:val="00341FF2"/>
    <w:rsid w:val="00350A5F"/>
    <w:rsid w:val="00351FD3"/>
    <w:rsid w:val="00353E7C"/>
    <w:rsid w:val="0035474C"/>
    <w:rsid w:val="00355E48"/>
    <w:rsid w:val="00372701"/>
    <w:rsid w:val="00381A82"/>
    <w:rsid w:val="003905A4"/>
    <w:rsid w:val="00393917"/>
    <w:rsid w:val="003939BE"/>
    <w:rsid w:val="00397E60"/>
    <w:rsid w:val="00397F20"/>
    <w:rsid w:val="003A02F0"/>
    <w:rsid w:val="003A102D"/>
    <w:rsid w:val="003A2DA0"/>
    <w:rsid w:val="003A5205"/>
    <w:rsid w:val="003A7429"/>
    <w:rsid w:val="003B3510"/>
    <w:rsid w:val="003C43EB"/>
    <w:rsid w:val="003C6FF1"/>
    <w:rsid w:val="003D113C"/>
    <w:rsid w:val="003D4E21"/>
    <w:rsid w:val="003E514A"/>
    <w:rsid w:val="003F4D3D"/>
    <w:rsid w:val="00400CF0"/>
    <w:rsid w:val="0040156B"/>
    <w:rsid w:val="00403D7C"/>
    <w:rsid w:val="004105E9"/>
    <w:rsid w:val="00410B7D"/>
    <w:rsid w:val="00420FAE"/>
    <w:rsid w:val="0042432B"/>
    <w:rsid w:val="00426CEF"/>
    <w:rsid w:val="00426E03"/>
    <w:rsid w:val="00431989"/>
    <w:rsid w:val="004331BE"/>
    <w:rsid w:val="00435CD3"/>
    <w:rsid w:val="00436931"/>
    <w:rsid w:val="004401A9"/>
    <w:rsid w:val="00444083"/>
    <w:rsid w:val="00445F06"/>
    <w:rsid w:val="0046166F"/>
    <w:rsid w:val="0046272F"/>
    <w:rsid w:val="004650A5"/>
    <w:rsid w:val="004659D2"/>
    <w:rsid w:val="00470911"/>
    <w:rsid w:val="00474A70"/>
    <w:rsid w:val="00474CD9"/>
    <w:rsid w:val="004830D2"/>
    <w:rsid w:val="00486B8C"/>
    <w:rsid w:val="004876BE"/>
    <w:rsid w:val="00490175"/>
    <w:rsid w:val="00492562"/>
    <w:rsid w:val="004967FE"/>
    <w:rsid w:val="004A07F0"/>
    <w:rsid w:val="004A13DB"/>
    <w:rsid w:val="004B0CAC"/>
    <w:rsid w:val="004B3364"/>
    <w:rsid w:val="004C5AC6"/>
    <w:rsid w:val="004D4D5B"/>
    <w:rsid w:val="004D6F54"/>
    <w:rsid w:val="004E27C3"/>
    <w:rsid w:val="004E5E7D"/>
    <w:rsid w:val="004F1884"/>
    <w:rsid w:val="004F534F"/>
    <w:rsid w:val="005109BF"/>
    <w:rsid w:val="00513A0B"/>
    <w:rsid w:val="0051433B"/>
    <w:rsid w:val="00525208"/>
    <w:rsid w:val="00527D36"/>
    <w:rsid w:val="00531B1A"/>
    <w:rsid w:val="00540769"/>
    <w:rsid w:val="0054623B"/>
    <w:rsid w:val="0054675A"/>
    <w:rsid w:val="00555ED9"/>
    <w:rsid w:val="00557C3A"/>
    <w:rsid w:val="00560C6D"/>
    <w:rsid w:val="0056692B"/>
    <w:rsid w:val="00570A75"/>
    <w:rsid w:val="00575C9C"/>
    <w:rsid w:val="005913BB"/>
    <w:rsid w:val="00591CAF"/>
    <w:rsid w:val="005A04AE"/>
    <w:rsid w:val="005B3C79"/>
    <w:rsid w:val="005D3C78"/>
    <w:rsid w:val="005D4053"/>
    <w:rsid w:val="005F02FB"/>
    <w:rsid w:val="005F4585"/>
    <w:rsid w:val="005F4A99"/>
    <w:rsid w:val="00601D86"/>
    <w:rsid w:val="00606615"/>
    <w:rsid w:val="00611646"/>
    <w:rsid w:val="00611D4E"/>
    <w:rsid w:val="006127BC"/>
    <w:rsid w:val="00623617"/>
    <w:rsid w:val="00627F94"/>
    <w:rsid w:val="0063012F"/>
    <w:rsid w:val="00633C70"/>
    <w:rsid w:val="006457E6"/>
    <w:rsid w:val="006661A9"/>
    <w:rsid w:val="00672018"/>
    <w:rsid w:val="0067428B"/>
    <w:rsid w:val="00690627"/>
    <w:rsid w:val="00692D07"/>
    <w:rsid w:val="00693398"/>
    <w:rsid w:val="00693FC7"/>
    <w:rsid w:val="00694116"/>
    <w:rsid w:val="00695F51"/>
    <w:rsid w:val="0069624B"/>
    <w:rsid w:val="00697036"/>
    <w:rsid w:val="006A175A"/>
    <w:rsid w:val="006A56F7"/>
    <w:rsid w:val="006A6EDE"/>
    <w:rsid w:val="006B4D34"/>
    <w:rsid w:val="006B72F5"/>
    <w:rsid w:val="006C27AA"/>
    <w:rsid w:val="006C58DD"/>
    <w:rsid w:val="006D4BC0"/>
    <w:rsid w:val="006D7F4E"/>
    <w:rsid w:val="006E36EC"/>
    <w:rsid w:val="00702026"/>
    <w:rsid w:val="00707F3F"/>
    <w:rsid w:val="00715F26"/>
    <w:rsid w:val="007255FE"/>
    <w:rsid w:val="00725629"/>
    <w:rsid w:val="00741BA2"/>
    <w:rsid w:val="007433D5"/>
    <w:rsid w:val="007535AB"/>
    <w:rsid w:val="007535E5"/>
    <w:rsid w:val="007660D2"/>
    <w:rsid w:val="00776B1C"/>
    <w:rsid w:val="00786F7E"/>
    <w:rsid w:val="00787C22"/>
    <w:rsid w:val="007940A5"/>
    <w:rsid w:val="007A225B"/>
    <w:rsid w:val="007A34E9"/>
    <w:rsid w:val="007B0CB6"/>
    <w:rsid w:val="007B256B"/>
    <w:rsid w:val="007B7C33"/>
    <w:rsid w:val="007C2266"/>
    <w:rsid w:val="007C2531"/>
    <w:rsid w:val="007C2F7C"/>
    <w:rsid w:val="007D21C3"/>
    <w:rsid w:val="007D317D"/>
    <w:rsid w:val="007E4F56"/>
    <w:rsid w:val="007E7F54"/>
    <w:rsid w:val="007F1F0A"/>
    <w:rsid w:val="007F25EA"/>
    <w:rsid w:val="00800B24"/>
    <w:rsid w:val="00803536"/>
    <w:rsid w:val="00815547"/>
    <w:rsid w:val="00833CBC"/>
    <w:rsid w:val="00834F53"/>
    <w:rsid w:val="00862815"/>
    <w:rsid w:val="0087007A"/>
    <w:rsid w:val="0087072B"/>
    <w:rsid w:val="00873C2A"/>
    <w:rsid w:val="00874014"/>
    <w:rsid w:val="00875573"/>
    <w:rsid w:val="008A0411"/>
    <w:rsid w:val="008A5E35"/>
    <w:rsid w:val="008A64FE"/>
    <w:rsid w:val="008B0EC6"/>
    <w:rsid w:val="008C6144"/>
    <w:rsid w:val="008C7BC8"/>
    <w:rsid w:val="008E38CB"/>
    <w:rsid w:val="008F717C"/>
    <w:rsid w:val="009110EB"/>
    <w:rsid w:val="00915E08"/>
    <w:rsid w:val="009163AD"/>
    <w:rsid w:val="009164BB"/>
    <w:rsid w:val="009222B5"/>
    <w:rsid w:val="00923E9C"/>
    <w:rsid w:val="00927527"/>
    <w:rsid w:val="00936520"/>
    <w:rsid w:val="00936C36"/>
    <w:rsid w:val="0093794F"/>
    <w:rsid w:val="009402E0"/>
    <w:rsid w:val="00952B6A"/>
    <w:rsid w:val="009538DC"/>
    <w:rsid w:val="00957622"/>
    <w:rsid w:val="00963A75"/>
    <w:rsid w:val="0097202E"/>
    <w:rsid w:val="00981D6E"/>
    <w:rsid w:val="00991E48"/>
    <w:rsid w:val="009A1B02"/>
    <w:rsid w:val="009A75C8"/>
    <w:rsid w:val="009B1058"/>
    <w:rsid w:val="009B4E9C"/>
    <w:rsid w:val="009B7BC1"/>
    <w:rsid w:val="009C6A02"/>
    <w:rsid w:val="009D0D04"/>
    <w:rsid w:val="009D380D"/>
    <w:rsid w:val="009D3E44"/>
    <w:rsid w:val="009D59B6"/>
    <w:rsid w:val="009F1783"/>
    <w:rsid w:val="009F299E"/>
    <w:rsid w:val="009F2D38"/>
    <w:rsid w:val="00A05680"/>
    <w:rsid w:val="00A06778"/>
    <w:rsid w:val="00A1128B"/>
    <w:rsid w:val="00A11E35"/>
    <w:rsid w:val="00A12341"/>
    <w:rsid w:val="00A128EA"/>
    <w:rsid w:val="00A13185"/>
    <w:rsid w:val="00A16693"/>
    <w:rsid w:val="00A20DA9"/>
    <w:rsid w:val="00A2205E"/>
    <w:rsid w:val="00A23F53"/>
    <w:rsid w:val="00A256F5"/>
    <w:rsid w:val="00A25B3A"/>
    <w:rsid w:val="00A320DF"/>
    <w:rsid w:val="00A32BBB"/>
    <w:rsid w:val="00A33BA8"/>
    <w:rsid w:val="00A33F92"/>
    <w:rsid w:val="00A34698"/>
    <w:rsid w:val="00A44907"/>
    <w:rsid w:val="00A458B1"/>
    <w:rsid w:val="00A468BC"/>
    <w:rsid w:val="00A55C81"/>
    <w:rsid w:val="00A62959"/>
    <w:rsid w:val="00A63C13"/>
    <w:rsid w:val="00A65A9D"/>
    <w:rsid w:val="00A67FF8"/>
    <w:rsid w:val="00A73E40"/>
    <w:rsid w:val="00A91912"/>
    <w:rsid w:val="00A96F5C"/>
    <w:rsid w:val="00AA0A08"/>
    <w:rsid w:val="00AA118A"/>
    <w:rsid w:val="00AA46C3"/>
    <w:rsid w:val="00AB1AF1"/>
    <w:rsid w:val="00AB3504"/>
    <w:rsid w:val="00AE56B6"/>
    <w:rsid w:val="00AF2901"/>
    <w:rsid w:val="00AF6F85"/>
    <w:rsid w:val="00B14B0E"/>
    <w:rsid w:val="00B2077F"/>
    <w:rsid w:val="00B242FB"/>
    <w:rsid w:val="00B2632A"/>
    <w:rsid w:val="00B26477"/>
    <w:rsid w:val="00B26B8A"/>
    <w:rsid w:val="00B336BF"/>
    <w:rsid w:val="00B43630"/>
    <w:rsid w:val="00B54241"/>
    <w:rsid w:val="00B54BDD"/>
    <w:rsid w:val="00B5505F"/>
    <w:rsid w:val="00B56AF4"/>
    <w:rsid w:val="00B64392"/>
    <w:rsid w:val="00B7281B"/>
    <w:rsid w:val="00B72A6B"/>
    <w:rsid w:val="00B7332A"/>
    <w:rsid w:val="00B93C83"/>
    <w:rsid w:val="00BA61A7"/>
    <w:rsid w:val="00BC2E85"/>
    <w:rsid w:val="00BC3DEB"/>
    <w:rsid w:val="00BD0B33"/>
    <w:rsid w:val="00BD6960"/>
    <w:rsid w:val="00BD6CCC"/>
    <w:rsid w:val="00BE0F42"/>
    <w:rsid w:val="00BE11A8"/>
    <w:rsid w:val="00BF09CF"/>
    <w:rsid w:val="00BF0F30"/>
    <w:rsid w:val="00BF14CE"/>
    <w:rsid w:val="00BF4338"/>
    <w:rsid w:val="00C04BD0"/>
    <w:rsid w:val="00C12D7E"/>
    <w:rsid w:val="00C237A8"/>
    <w:rsid w:val="00C23F08"/>
    <w:rsid w:val="00C32975"/>
    <w:rsid w:val="00C34542"/>
    <w:rsid w:val="00C42A4C"/>
    <w:rsid w:val="00C42DDC"/>
    <w:rsid w:val="00C43FCF"/>
    <w:rsid w:val="00C5481C"/>
    <w:rsid w:val="00C659BA"/>
    <w:rsid w:val="00C74083"/>
    <w:rsid w:val="00C95CEF"/>
    <w:rsid w:val="00CA1A20"/>
    <w:rsid w:val="00CB4C83"/>
    <w:rsid w:val="00CB4E1B"/>
    <w:rsid w:val="00CC6979"/>
    <w:rsid w:val="00CD04F6"/>
    <w:rsid w:val="00CD10BD"/>
    <w:rsid w:val="00CD7C44"/>
    <w:rsid w:val="00CE3B4E"/>
    <w:rsid w:val="00CE41A6"/>
    <w:rsid w:val="00CE6221"/>
    <w:rsid w:val="00CF4075"/>
    <w:rsid w:val="00CF6276"/>
    <w:rsid w:val="00CF6710"/>
    <w:rsid w:val="00CF69B8"/>
    <w:rsid w:val="00D00A0B"/>
    <w:rsid w:val="00D33AE5"/>
    <w:rsid w:val="00D44ECE"/>
    <w:rsid w:val="00D4629B"/>
    <w:rsid w:val="00D475AD"/>
    <w:rsid w:val="00D56CF1"/>
    <w:rsid w:val="00D56E0A"/>
    <w:rsid w:val="00D61AF1"/>
    <w:rsid w:val="00D73956"/>
    <w:rsid w:val="00D80ECE"/>
    <w:rsid w:val="00D82A0F"/>
    <w:rsid w:val="00D83A98"/>
    <w:rsid w:val="00D859CA"/>
    <w:rsid w:val="00D86A0C"/>
    <w:rsid w:val="00D96BE0"/>
    <w:rsid w:val="00DA343A"/>
    <w:rsid w:val="00DA4654"/>
    <w:rsid w:val="00DB0E0B"/>
    <w:rsid w:val="00DB4705"/>
    <w:rsid w:val="00DB7887"/>
    <w:rsid w:val="00DC3EC3"/>
    <w:rsid w:val="00DE28F7"/>
    <w:rsid w:val="00DE5729"/>
    <w:rsid w:val="00DF1E05"/>
    <w:rsid w:val="00DF3C37"/>
    <w:rsid w:val="00E17CAA"/>
    <w:rsid w:val="00E23C64"/>
    <w:rsid w:val="00E26204"/>
    <w:rsid w:val="00E32A29"/>
    <w:rsid w:val="00E35492"/>
    <w:rsid w:val="00E37FB7"/>
    <w:rsid w:val="00E4022D"/>
    <w:rsid w:val="00E46F17"/>
    <w:rsid w:val="00E50378"/>
    <w:rsid w:val="00E50509"/>
    <w:rsid w:val="00E521F8"/>
    <w:rsid w:val="00E5670A"/>
    <w:rsid w:val="00E60237"/>
    <w:rsid w:val="00E656A9"/>
    <w:rsid w:val="00E829D3"/>
    <w:rsid w:val="00E9235A"/>
    <w:rsid w:val="00EA1981"/>
    <w:rsid w:val="00EA257D"/>
    <w:rsid w:val="00EA5407"/>
    <w:rsid w:val="00EA6361"/>
    <w:rsid w:val="00EB0B82"/>
    <w:rsid w:val="00EB2895"/>
    <w:rsid w:val="00EC01BA"/>
    <w:rsid w:val="00EC1F86"/>
    <w:rsid w:val="00EC29BD"/>
    <w:rsid w:val="00EC2BBC"/>
    <w:rsid w:val="00ED2080"/>
    <w:rsid w:val="00ED2DB3"/>
    <w:rsid w:val="00ED50BF"/>
    <w:rsid w:val="00ED536F"/>
    <w:rsid w:val="00ED5995"/>
    <w:rsid w:val="00ED674F"/>
    <w:rsid w:val="00EE5438"/>
    <w:rsid w:val="00EF3896"/>
    <w:rsid w:val="00EF551B"/>
    <w:rsid w:val="00EF7253"/>
    <w:rsid w:val="00F003CA"/>
    <w:rsid w:val="00F03EA0"/>
    <w:rsid w:val="00F074EE"/>
    <w:rsid w:val="00F17B9D"/>
    <w:rsid w:val="00F2107B"/>
    <w:rsid w:val="00F21E1E"/>
    <w:rsid w:val="00F26443"/>
    <w:rsid w:val="00F3323E"/>
    <w:rsid w:val="00F36FE3"/>
    <w:rsid w:val="00F432C8"/>
    <w:rsid w:val="00F44B28"/>
    <w:rsid w:val="00F50D39"/>
    <w:rsid w:val="00F53AC2"/>
    <w:rsid w:val="00F56210"/>
    <w:rsid w:val="00F575EF"/>
    <w:rsid w:val="00F61D30"/>
    <w:rsid w:val="00F6329F"/>
    <w:rsid w:val="00F63DD9"/>
    <w:rsid w:val="00F71A1B"/>
    <w:rsid w:val="00F7491D"/>
    <w:rsid w:val="00F774AD"/>
    <w:rsid w:val="00F80940"/>
    <w:rsid w:val="00F8785B"/>
    <w:rsid w:val="00F941D6"/>
    <w:rsid w:val="00F95F5E"/>
    <w:rsid w:val="00F975D2"/>
    <w:rsid w:val="00FA360E"/>
    <w:rsid w:val="00FB379E"/>
    <w:rsid w:val="00FC0256"/>
    <w:rsid w:val="00FC2BFD"/>
    <w:rsid w:val="00FC31EE"/>
    <w:rsid w:val="00FE043A"/>
    <w:rsid w:val="00FE157E"/>
    <w:rsid w:val="00FE2CAB"/>
    <w:rsid w:val="00FE644A"/>
    <w:rsid w:val="00FF242D"/>
    <w:rsid w:val="00FF327B"/>
    <w:rsid w:val="00FF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03513E8-7712-4815-BAA3-038AE08D7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spacing w:line="240" w:lineRule="exact"/>
      <w:ind w:right="1134"/>
      <w:jc w:val="both"/>
      <w:outlineLvl w:val="0"/>
    </w:pPr>
    <w:rPr>
      <w:rFonts w:ascii="Arial" w:hAnsi="Arial"/>
      <w:b/>
      <w:sz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rPr>
      <w:rFonts w:ascii="Courier" w:hAnsi="Courier"/>
      <w:sz w:val="20"/>
    </w:rPr>
  </w:style>
  <w:style w:type="paragraph" w:styleId="Testofumetto">
    <w:name w:val="Balloon Text"/>
    <w:basedOn w:val="Normale"/>
    <w:semiHidden/>
    <w:rPr>
      <w:rFonts w:ascii="Tahoma" w:hAnsi="Tahoma"/>
      <w:sz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spacing w:line="280" w:lineRule="exact"/>
      <w:ind w:firstLine="720"/>
    </w:pPr>
    <w:rPr>
      <w:rFonts w:ascii="Arial" w:hAnsi="Arial"/>
    </w:rPr>
  </w:style>
  <w:style w:type="paragraph" w:styleId="Rientrocorpodeltesto2">
    <w:name w:val="Body Text Indent 2"/>
    <w:basedOn w:val="Normale"/>
    <w:pPr>
      <w:spacing w:line="240" w:lineRule="exact"/>
      <w:ind w:left="720"/>
      <w:jc w:val="both"/>
    </w:pPr>
    <w:rPr>
      <w:rFonts w:ascii="Arial" w:hAnsi="Arial"/>
      <w:sz w:val="20"/>
    </w:rPr>
  </w:style>
  <w:style w:type="paragraph" w:styleId="Testonotadichiusura">
    <w:name w:val="endnote text"/>
    <w:basedOn w:val="Normale"/>
    <w:semiHidden/>
  </w:style>
  <w:style w:type="character" w:styleId="Rimandonotadichiusura">
    <w:name w:val="endnote reference"/>
    <w:semiHidden/>
    <w:rPr>
      <w:vertAlign w:val="superscript"/>
    </w:rPr>
  </w:style>
  <w:style w:type="character" w:styleId="Numeropagina">
    <w:name w:val="page number"/>
    <w:basedOn w:val="Carpredefinitoparagrafo"/>
  </w:style>
  <w:style w:type="paragraph" w:styleId="Testodelblocco">
    <w:name w:val="Block Text"/>
    <w:basedOn w:val="Normale"/>
    <w:pPr>
      <w:spacing w:line="240" w:lineRule="exact"/>
      <w:ind w:left="720" w:right="1134"/>
      <w:jc w:val="both"/>
    </w:pPr>
    <w:rPr>
      <w:rFonts w:ascii="Arial" w:hAnsi="Arial"/>
      <w:sz w:val="20"/>
      <w:lang w:val="en-US"/>
    </w:rPr>
  </w:style>
  <w:style w:type="paragraph" w:styleId="Rientrocorpodeltesto3">
    <w:name w:val="Body Text Indent 3"/>
    <w:basedOn w:val="Normale"/>
    <w:pPr>
      <w:spacing w:line="280" w:lineRule="exact"/>
      <w:ind w:left="720"/>
    </w:pPr>
    <w:rPr>
      <w:rFonts w:ascii="Arial" w:hAnsi="Arial"/>
      <w:sz w:val="20"/>
    </w:rPr>
  </w:style>
  <w:style w:type="paragraph" w:customStyle="1" w:styleId="APPTesto">
    <w:name w:val="APP Testo"/>
    <w:link w:val="APPTestoCarattere1"/>
    <w:rsid w:val="00DA2CE9"/>
    <w:pPr>
      <w:spacing w:line="193" w:lineRule="exact"/>
      <w:ind w:firstLine="284"/>
      <w:jc w:val="both"/>
    </w:pPr>
    <w:rPr>
      <w:rFonts w:ascii="Imprint-G1Regular" w:hAnsi="Imprint-G1Regular"/>
      <w:sz w:val="18"/>
    </w:rPr>
  </w:style>
  <w:style w:type="character" w:customStyle="1" w:styleId="APPTestoCarattere1">
    <w:name w:val="APP Testo Carattere1"/>
    <w:link w:val="APPTesto"/>
    <w:rsid w:val="00DA2CE9"/>
    <w:rPr>
      <w:rFonts w:ascii="Imprint-G1Regular" w:hAnsi="Imprint-G1Regular"/>
      <w:sz w:val="18"/>
      <w:lang w:val="it-IT" w:eastAsia="it-IT" w:bidi="ar-SA"/>
    </w:rPr>
  </w:style>
  <w:style w:type="paragraph" w:styleId="NormaleWeb">
    <w:name w:val="Normal (Web)"/>
    <w:basedOn w:val="Normale"/>
    <w:rsid w:val="00DA2CE9"/>
    <w:pPr>
      <w:spacing w:before="100" w:beforeAutospacing="1" w:after="100" w:afterAutospacing="1"/>
    </w:pPr>
    <w:rPr>
      <w:color w:val="000000"/>
      <w:szCs w:val="24"/>
    </w:rPr>
  </w:style>
  <w:style w:type="character" w:customStyle="1" w:styleId="TestoCorsivo">
    <w:name w:val="Testo Corsivo"/>
    <w:rsid w:val="00DA2CE9"/>
    <w:rPr>
      <w:rFonts w:ascii="Imprint-G1Italic" w:hAnsi="Imprint-G1Italic"/>
      <w:color w:val="auto"/>
      <w:sz w:val="18"/>
      <w:szCs w:val="18"/>
      <w:u w:val="none"/>
    </w:rPr>
  </w:style>
  <w:style w:type="character" w:styleId="Enfasicorsivo">
    <w:name w:val="Emphasis"/>
    <w:qFormat/>
    <w:rsid w:val="00DA2CE9"/>
    <w:rPr>
      <w:i/>
      <w:iCs/>
    </w:rPr>
  </w:style>
  <w:style w:type="paragraph" w:styleId="Mappadocumento">
    <w:name w:val="Document Map"/>
    <w:basedOn w:val="Normale"/>
    <w:semiHidden/>
    <w:rsid w:val="00CF69B8"/>
    <w:pPr>
      <w:shd w:val="clear" w:color="auto" w:fill="000080"/>
    </w:pPr>
    <w:rPr>
      <w:rFonts w:ascii="Tahoma" w:hAnsi="Tahoma" w:cs="Tahoma"/>
      <w:sz w:val="20"/>
    </w:rPr>
  </w:style>
  <w:style w:type="paragraph" w:customStyle="1" w:styleId="stile1">
    <w:name w:val="stile1"/>
    <w:basedOn w:val="Normale"/>
    <w:rsid w:val="00C659BA"/>
    <w:pPr>
      <w:spacing w:line="480" w:lineRule="atLeast"/>
      <w:jc w:val="both"/>
    </w:pPr>
    <w:rPr>
      <w:szCs w:val="24"/>
    </w:rPr>
  </w:style>
  <w:style w:type="character" w:customStyle="1" w:styleId="morelli">
    <w:name w:val="morelli"/>
    <w:semiHidden/>
    <w:rsid w:val="009F2D38"/>
    <w:rPr>
      <w:rFonts w:ascii="Georgia" w:hAnsi="Georgia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A220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</w:rPr>
  </w:style>
  <w:style w:type="character" w:customStyle="1" w:styleId="PreformattatoHTMLCarattere">
    <w:name w:val="Preformattato HTML Carattere"/>
    <w:link w:val="PreformattatoHTML"/>
    <w:uiPriority w:val="99"/>
    <w:rsid w:val="00A2205E"/>
    <w:rPr>
      <w:rFonts w:ascii="Courier New" w:eastAsia="Calibri" w:hAnsi="Courier New" w:cs="Courier New"/>
    </w:rPr>
  </w:style>
  <w:style w:type="paragraph" w:styleId="Testonormale">
    <w:name w:val="Plain Text"/>
    <w:basedOn w:val="Normale"/>
    <w:link w:val="TestonormaleCarattere"/>
    <w:uiPriority w:val="99"/>
    <w:unhideWhenUsed/>
    <w:rsid w:val="00474A70"/>
    <w:rPr>
      <w:rFonts w:ascii="Georgia" w:eastAsia="Calibri" w:hAnsi="Georgia"/>
      <w:color w:val="0C2577"/>
      <w:sz w:val="22"/>
      <w:szCs w:val="22"/>
    </w:rPr>
  </w:style>
  <w:style w:type="character" w:customStyle="1" w:styleId="TestonormaleCarattere">
    <w:name w:val="Testo normale Carattere"/>
    <w:link w:val="Testonormale"/>
    <w:uiPriority w:val="99"/>
    <w:rsid w:val="00474A70"/>
    <w:rPr>
      <w:rFonts w:ascii="Georgia" w:eastAsia="Calibri" w:hAnsi="Georgia"/>
      <w:color w:val="0C2577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1C094B"/>
    <w:pPr>
      <w:ind w:left="720"/>
      <w:contextualSpacing/>
    </w:pPr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6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320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Studio Graffiti</Company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Cristina</dc:creator>
  <cp:keywords/>
  <dc:description/>
  <cp:lastModifiedBy>Morelli Antonio</cp:lastModifiedBy>
  <cp:revision>6</cp:revision>
  <cp:lastPrinted>2019-12-04T18:14:00Z</cp:lastPrinted>
  <dcterms:created xsi:type="dcterms:W3CDTF">2019-12-04T17:53:00Z</dcterms:created>
  <dcterms:modified xsi:type="dcterms:W3CDTF">2019-12-05T09:09:00Z</dcterms:modified>
</cp:coreProperties>
</file>