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FD" w:rsidRPr="002028FD" w:rsidRDefault="002028FD" w:rsidP="002028FD">
      <w:pPr>
        <w:spacing w:line="280" w:lineRule="exact"/>
        <w:rPr>
          <w:rFonts w:ascii="Georgia" w:hAnsi="Georgia"/>
          <w:sz w:val="22"/>
          <w:szCs w:val="22"/>
        </w:rPr>
      </w:pPr>
      <w:r w:rsidRPr="002028FD">
        <w:rPr>
          <w:rFonts w:ascii="Georgia" w:hAnsi="Georgia"/>
          <w:sz w:val="22"/>
          <w:szCs w:val="22"/>
        </w:rPr>
        <w:t xml:space="preserve">Roma, 8 febbraio 2019 </w:t>
      </w:r>
    </w:p>
    <w:p w:rsidR="002028FD" w:rsidRPr="002028FD" w:rsidRDefault="002028FD" w:rsidP="002028FD">
      <w:pPr>
        <w:spacing w:line="280" w:lineRule="exact"/>
        <w:rPr>
          <w:rFonts w:ascii="Georgia" w:hAnsi="Georgia"/>
          <w:sz w:val="22"/>
          <w:szCs w:val="22"/>
        </w:rPr>
      </w:pPr>
    </w:p>
    <w:p w:rsidR="002028FD" w:rsidRPr="002028FD" w:rsidRDefault="002028FD" w:rsidP="002028FD">
      <w:pPr>
        <w:spacing w:line="280" w:lineRule="exact"/>
        <w:rPr>
          <w:rFonts w:ascii="Georgia" w:hAnsi="Georgia"/>
          <w:b/>
          <w:bCs/>
          <w:smallCaps/>
          <w:sz w:val="22"/>
          <w:szCs w:val="22"/>
        </w:rPr>
      </w:pPr>
      <w:r w:rsidRPr="002028FD">
        <w:rPr>
          <w:rFonts w:ascii="Georgia" w:hAnsi="Georgia"/>
          <w:b/>
          <w:bCs/>
          <w:smallCaps/>
          <w:sz w:val="22"/>
          <w:szCs w:val="22"/>
        </w:rPr>
        <w:t xml:space="preserve">Comunicato Stampa </w:t>
      </w:r>
    </w:p>
    <w:p w:rsidR="002028FD" w:rsidRPr="002028FD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2028FD">
        <w:rPr>
          <w:rStyle w:val="Enfasigrassetto"/>
          <w:rFonts w:ascii="Georgia" w:hAnsi="Georgia"/>
          <w:color w:val="212121"/>
          <w:sz w:val="22"/>
          <w:szCs w:val="22"/>
        </w:rPr>
        <w:t> 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b/>
          <w:bCs/>
          <w:color w:val="212121"/>
          <w:sz w:val="22"/>
          <w:szCs w:val="22"/>
        </w:rPr>
      </w:pPr>
      <w:r w:rsidRPr="000C6DC7">
        <w:rPr>
          <w:rFonts w:ascii="Georgia" w:hAnsi="Georgia"/>
          <w:b/>
          <w:bCs/>
          <w:color w:val="212121"/>
          <w:sz w:val="22"/>
          <w:szCs w:val="22"/>
        </w:rPr>
        <w:t>Lotta alla contraffazione dei farmaci. Al via il nuovo sistema europeo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b/>
          <w:bCs/>
          <w:color w:val="212121"/>
          <w:sz w:val="22"/>
          <w:szCs w:val="22"/>
        </w:rPr>
        <w:t> </w:t>
      </w:r>
      <w:r w:rsidRPr="000C6DC7">
        <w:rPr>
          <w:rFonts w:ascii="Georgia" w:hAnsi="Georgia"/>
          <w:color w:val="212121"/>
          <w:sz w:val="22"/>
          <w:szCs w:val="22"/>
        </w:rPr>
        <w:t> 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Style w:val="Enfasicorsivo"/>
          <w:rFonts w:ascii="Georgia" w:hAnsi="Georgia"/>
          <w:color w:val="212121"/>
          <w:sz w:val="22"/>
          <w:szCs w:val="22"/>
        </w:rPr>
        <w:t xml:space="preserve">Presentato ufficialmente oggi a Bruxelles il sistema di </w:t>
      </w:r>
      <w:r w:rsidR="00394796" w:rsidRPr="000C6DC7">
        <w:rPr>
          <w:rStyle w:val="Enfasicorsivo"/>
          <w:rFonts w:ascii="Georgia" w:hAnsi="Georgia"/>
          <w:color w:val="212121"/>
          <w:sz w:val="22"/>
          <w:szCs w:val="22"/>
        </w:rPr>
        <w:t>tracciatura</w:t>
      </w:r>
      <w:r w:rsidRPr="000C6DC7">
        <w:rPr>
          <w:rStyle w:val="Enfasicorsivo"/>
          <w:rFonts w:ascii="Georgia" w:hAnsi="Georgia"/>
          <w:color w:val="212121"/>
          <w:sz w:val="22"/>
          <w:szCs w:val="22"/>
        </w:rPr>
        <w:t xml:space="preserve"> e vigilanza attivo da domani in 31 Stati dello spazio economico europeo (SEE).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Style w:val="Enfasicorsivo"/>
          <w:rFonts w:ascii="Georgia" w:hAnsi="Georgia"/>
          <w:color w:val="212121"/>
          <w:sz w:val="22"/>
          <w:szCs w:val="22"/>
        </w:rPr>
        <w:t>Proroga per l’Italia fino al 2025 ma le aziende si sono già adeguate per esportare i propri prodotti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> 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>È stato presentato oggi ufficialmente a Bruxelles e diventa operativo da domani, in 31 Stati dello spazio economico europeo (SEE), il nuovo sistema UE di contrasto alla contraffazione farmaceutica, basato sull’apposizione di un codice identificativo univoco a barre bidimensionale (Datamatrix 2D).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>Tutti i farmaci</w:t>
      </w:r>
      <w:r w:rsidR="00394796" w:rsidRPr="000C6DC7">
        <w:rPr>
          <w:rFonts w:ascii="Georgia" w:hAnsi="Georgia"/>
          <w:color w:val="212121"/>
          <w:sz w:val="22"/>
          <w:szCs w:val="22"/>
        </w:rPr>
        <w:t xml:space="preserve"> con obbligo di </w:t>
      </w:r>
      <w:r w:rsidRPr="000C6DC7">
        <w:rPr>
          <w:rFonts w:ascii="Georgia" w:hAnsi="Georgia"/>
          <w:color w:val="212121"/>
          <w:sz w:val="22"/>
          <w:szCs w:val="22"/>
        </w:rPr>
        <w:t xml:space="preserve">ricetta dispensati </w:t>
      </w:r>
      <w:r w:rsidR="00394796" w:rsidRPr="000C6DC7">
        <w:rPr>
          <w:rFonts w:ascii="Georgia" w:hAnsi="Georgia"/>
          <w:color w:val="212121"/>
          <w:sz w:val="22"/>
          <w:szCs w:val="22"/>
        </w:rPr>
        <w:t>nella UE</w:t>
      </w:r>
      <w:r w:rsidRPr="000C6DC7">
        <w:rPr>
          <w:rFonts w:ascii="Georgia" w:hAnsi="Georgia"/>
          <w:color w:val="212121"/>
          <w:sz w:val="22"/>
          <w:szCs w:val="22"/>
        </w:rPr>
        <w:t xml:space="preserve"> saranno dunque soggetti al nuovo sistema di </w:t>
      </w:r>
      <w:r w:rsidR="00394796" w:rsidRPr="000C6DC7">
        <w:rPr>
          <w:rFonts w:ascii="Georgia" w:hAnsi="Georgia"/>
          <w:color w:val="212121"/>
          <w:sz w:val="22"/>
          <w:szCs w:val="22"/>
        </w:rPr>
        <w:t>tracciatura</w:t>
      </w:r>
      <w:r w:rsidRPr="000C6DC7">
        <w:rPr>
          <w:rFonts w:ascii="Georgia" w:hAnsi="Georgia"/>
          <w:color w:val="212121"/>
          <w:sz w:val="22"/>
          <w:szCs w:val="22"/>
        </w:rPr>
        <w:t xml:space="preserve"> che consentirà la verifica di autenticità da parte del </w:t>
      </w:r>
      <w:r w:rsidR="00394796" w:rsidRPr="000C6DC7">
        <w:rPr>
          <w:rFonts w:ascii="Georgia" w:hAnsi="Georgia"/>
          <w:color w:val="212121"/>
          <w:sz w:val="22"/>
          <w:szCs w:val="22"/>
        </w:rPr>
        <w:t>nuovo</w:t>
      </w:r>
      <w:r w:rsidRPr="000C6DC7">
        <w:rPr>
          <w:rFonts w:ascii="Georgia" w:hAnsi="Georgia"/>
          <w:color w:val="212121"/>
          <w:sz w:val="22"/>
          <w:szCs w:val="22"/>
        </w:rPr>
        <w:t xml:space="preserve"> EMVS, il sistema europeo di verifica dei medicinali, istituito nel 2016</w:t>
      </w:r>
      <w:r w:rsidRPr="000C6DC7">
        <w:rPr>
          <w:rStyle w:val="Enfasigrassetto"/>
          <w:rFonts w:ascii="Georgia" w:hAnsi="Georgia"/>
          <w:color w:val="212121"/>
          <w:sz w:val="22"/>
          <w:szCs w:val="22"/>
        </w:rPr>
        <w:t> </w:t>
      </w:r>
      <w:r w:rsidRPr="000C6DC7">
        <w:rPr>
          <w:rFonts w:ascii="Georgia" w:hAnsi="Georgia"/>
          <w:color w:val="212121"/>
          <w:sz w:val="22"/>
          <w:szCs w:val="22"/>
        </w:rPr>
        <w:t>in attuazione dell</w:t>
      </w:r>
      <w:r w:rsidR="00394796" w:rsidRPr="000C6DC7">
        <w:rPr>
          <w:rFonts w:ascii="Georgia" w:hAnsi="Georgia"/>
          <w:color w:val="212121"/>
          <w:sz w:val="22"/>
          <w:szCs w:val="22"/>
        </w:rPr>
        <w:t>a</w:t>
      </w:r>
      <w:r w:rsidRPr="000C6DC7">
        <w:rPr>
          <w:rFonts w:ascii="Georgia" w:hAnsi="Georgia"/>
          <w:color w:val="212121"/>
          <w:sz w:val="22"/>
          <w:szCs w:val="22"/>
        </w:rPr>
        <w:t xml:space="preserve"> direttiva anticontraffazione </w:t>
      </w:r>
      <w:r w:rsidR="00394796" w:rsidRPr="000C6DC7">
        <w:rPr>
          <w:rFonts w:ascii="Georgia" w:hAnsi="Georgia"/>
          <w:color w:val="212121"/>
          <w:sz w:val="22"/>
          <w:szCs w:val="22"/>
        </w:rPr>
        <w:t>(</w:t>
      </w:r>
      <w:r w:rsidRPr="000C6DC7">
        <w:rPr>
          <w:rFonts w:ascii="Georgia" w:hAnsi="Georgia"/>
          <w:color w:val="212121"/>
          <w:sz w:val="22"/>
          <w:szCs w:val="22"/>
        </w:rPr>
        <w:t>6</w:t>
      </w:r>
      <w:r w:rsidR="00394796" w:rsidRPr="000C6DC7">
        <w:rPr>
          <w:rFonts w:ascii="Georgia" w:hAnsi="Georgia"/>
          <w:color w:val="212121"/>
          <w:sz w:val="22"/>
          <w:szCs w:val="22"/>
        </w:rPr>
        <w:t>2/</w:t>
      </w:r>
      <w:r w:rsidRPr="000C6DC7">
        <w:rPr>
          <w:rFonts w:ascii="Georgia" w:hAnsi="Georgia"/>
          <w:color w:val="212121"/>
          <w:sz w:val="22"/>
          <w:szCs w:val="22"/>
        </w:rPr>
        <w:t>2011</w:t>
      </w:r>
      <w:r w:rsidR="00394796" w:rsidRPr="000C6DC7">
        <w:rPr>
          <w:rFonts w:ascii="Georgia" w:hAnsi="Georgia"/>
          <w:color w:val="212121"/>
          <w:sz w:val="22"/>
          <w:szCs w:val="22"/>
        </w:rPr>
        <w:t>/UE</w:t>
      </w:r>
      <w:r w:rsidRPr="000C6DC7">
        <w:rPr>
          <w:rFonts w:ascii="Georgia" w:hAnsi="Georgia"/>
          <w:color w:val="212121"/>
          <w:sz w:val="22"/>
          <w:szCs w:val="22"/>
        </w:rPr>
        <w:t>) e del relativo Regolamento delegato.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 xml:space="preserve">Secondo i dati illustrati oggi l’EMVS collegherà 2mila aziende farmaceutiche, circa 6mila grossisti, 140mila farmacie, 5mila farmacie ospedaliere e tutti i dispensatori di medicinali attivi </w:t>
      </w:r>
      <w:r w:rsidR="00394796" w:rsidRPr="000C6DC7">
        <w:rPr>
          <w:rFonts w:ascii="Georgia" w:hAnsi="Georgia"/>
          <w:color w:val="212121"/>
          <w:sz w:val="22"/>
          <w:szCs w:val="22"/>
        </w:rPr>
        <w:t>nello spazio economico europeo</w:t>
      </w:r>
      <w:r w:rsidRPr="000C6DC7">
        <w:rPr>
          <w:rFonts w:ascii="Georgia" w:hAnsi="Georgia"/>
          <w:color w:val="212121"/>
          <w:sz w:val="22"/>
          <w:szCs w:val="22"/>
        </w:rPr>
        <w:t xml:space="preserve"> con l’obiettivo di proteggere i pazienti europei dal rischio di ingresso di farmaci contraffatti nella catena di approvvigionamento legale. Fenomeno questo che la Commissione Ue quota nello 0,005% dei medicinali circolanti in Europa.</w:t>
      </w:r>
      <w:r w:rsidR="00394796" w:rsidRPr="000C6DC7">
        <w:rPr>
          <w:rFonts w:ascii="Georgia" w:hAnsi="Georgia"/>
          <w:color w:val="212121"/>
          <w:sz w:val="22"/>
          <w:szCs w:val="22"/>
        </w:rPr>
        <w:t xml:space="preserve"> </w:t>
      </w:r>
      <w:r w:rsidRPr="000C6DC7">
        <w:rPr>
          <w:rFonts w:ascii="Georgia" w:hAnsi="Georgia"/>
          <w:color w:val="212121"/>
          <w:sz w:val="22"/>
          <w:szCs w:val="22"/>
        </w:rPr>
        <w:t xml:space="preserve">Per il nostro Paese, la nuova disciplina tuttavia non entra in vigore in considerazione della proroga al 2025 concessa all’Italia, assieme a Belgio e Grecia, in quanto Paesi dotati di un preesistente sistema (in Italia il cosiddetto bollino autoadesivo). 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>Le imprese del farmaco che producono nel Paese ed esportano per oltre il 70% hanno già adeguato con spirito di collaborazione le loro linee produttive al nuovo sistema per rispondere alle richieste del mercato europeo.</w:t>
      </w:r>
    </w:p>
    <w:p w:rsidR="002028FD" w:rsidRPr="000C6DC7" w:rsidRDefault="002028FD" w:rsidP="002028FD">
      <w:pPr>
        <w:shd w:val="clear" w:color="auto" w:fill="FFFFFF"/>
        <w:spacing w:line="280" w:lineRule="exact"/>
        <w:jc w:val="both"/>
        <w:rPr>
          <w:rFonts w:ascii="Georgia" w:hAnsi="Georgia"/>
          <w:color w:val="212121"/>
          <w:sz w:val="22"/>
          <w:szCs w:val="22"/>
        </w:rPr>
      </w:pPr>
      <w:r w:rsidRPr="000C6DC7">
        <w:rPr>
          <w:rFonts w:ascii="Georgia" w:hAnsi="Georgia"/>
          <w:color w:val="212121"/>
          <w:sz w:val="22"/>
          <w:szCs w:val="22"/>
        </w:rPr>
        <w:t xml:space="preserve">In ogni caso, la filiera farmaceutica in Italia ha da tempo avviato un tavolo per costituire l’ente (National Medicines Verification Organization – NMVO) che </w:t>
      </w:r>
      <w:r w:rsidR="00394796" w:rsidRPr="000C6DC7">
        <w:rPr>
          <w:rFonts w:ascii="Georgia" w:hAnsi="Georgia"/>
          <w:color w:val="212121"/>
          <w:sz w:val="22"/>
          <w:szCs w:val="22"/>
        </w:rPr>
        <w:t>dovrebbe operare</w:t>
      </w:r>
      <w:r w:rsidRPr="000C6DC7">
        <w:rPr>
          <w:rFonts w:ascii="Georgia" w:hAnsi="Georgia"/>
          <w:color w:val="212121"/>
          <w:sz w:val="22"/>
          <w:szCs w:val="22"/>
        </w:rPr>
        <w:t xml:space="preserve"> a livello nazionale previsto dalla normativa comunitaria.</w:t>
      </w:r>
    </w:p>
    <w:p w:rsidR="00CF17D7" w:rsidRPr="002028FD" w:rsidRDefault="002028FD" w:rsidP="00901E11">
      <w:pPr>
        <w:shd w:val="clear" w:color="auto" w:fill="FFFFFF"/>
        <w:spacing w:line="280" w:lineRule="exact"/>
        <w:jc w:val="both"/>
      </w:pPr>
      <w:r w:rsidRPr="000C6DC7">
        <w:rPr>
          <w:rFonts w:ascii="Georgia" w:hAnsi="Georgia"/>
          <w:color w:val="212121"/>
          <w:sz w:val="22"/>
          <w:szCs w:val="22"/>
        </w:rPr>
        <w:t>Le aziende produttrici del nostro Paese sono già da tempo pronte - grazie all’impegno profuso negli ultimi tre anni - </w:t>
      </w:r>
      <w:r w:rsidRPr="000C6DC7">
        <w:rPr>
          <w:rFonts w:ascii="Georgia" w:hAnsi="Georgia"/>
          <w:sz w:val="22"/>
          <w:szCs w:val="22"/>
        </w:rPr>
        <w:t>qualora il Governo</w:t>
      </w:r>
      <w:r w:rsidRPr="000C6DC7">
        <w:rPr>
          <w:rFonts w:ascii="Georgia" w:hAnsi="Georgia"/>
          <w:color w:val="212121"/>
          <w:sz w:val="22"/>
          <w:szCs w:val="22"/>
        </w:rPr>
        <w:t xml:space="preserve"> dovesse optare per una immediata operatività del sistema anche sul nostro territorio.</w:t>
      </w:r>
      <w:bookmarkStart w:id="0" w:name="_GoBack"/>
      <w:bookmarkEnd w:id="0"/>
    </w:p>
    <w:sectPr w:rsidR="00CF17D7" w:rsidRPr="002028FD" w:rsidSect="00A6737A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2"/>
      </w:endnotePr>
      <w:pgSz w:w="11906" w:h="16838" w:code="9"/>
      <w:pgMar w:top="3090" w:right="1134" w:bottom="2835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BA" w:rsidRDefault="00D627BA">
      <w:r>
        <w:separator/>
      </w:r>
    </w:p>
  </w:endnote>
  <w:endnote w:type="continuationSeparator" w:id="0">
    <w:p w:rsidR="00D627BA" w:rsidRDefault="00D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3F8780EC-7A74-42A5-A73F-ADDE5356E9F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A18BFBFC-BD80-4E82-B2A3-E3C0BE3CD6EE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F1544E4B-EA99-4BF0-867A-8E15EA7BC080}"/>
    <w:embedBold r:id="rId4" w:fontKey="{F7E49197-6ED5-40CB-9B35-87FC6F472CFA}"/>
    <w:embedItalic r:id="rId5" w:fontKey="{CA99149A-99AB-40A8-B58F-0B63C7FB09D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BA" w:rsidRDefault="00D627B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27BA" w:rsidRDefault="00D627BA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BA" w:rsidRDefault="00D627BA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6E26FD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D627BA" w:rsidRDefault="00D627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BA" w:rsidRDefault="00D627BA">
      <w:r>
        <w:separator/>
      </w:r>
    </w:p>
  </w:footnote>
  <w:footnote w:type="continuationSeparator" w:id="0">
    <w:p w:rsidR="00D627BA" w:rsidRDefault="00D6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BA" w:rsidRDefault="00246BA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113030</wp:posOffset>
              </wp:positionV>
              <wp:extent cx="2402205" cy="6724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7BA" w:rsidRDefault="00D627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9725" cy="419100"/>
                                <wp:effectExtent l="19050" t="0" r="9525" b="0"/>
                                <wp:docPr id="48" name="Immagine 48" descr="logoFarmindustr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Farmindustr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15pt;margin-top:8.9pt;width:189.15pt;height:5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dLgg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" stroked="f">
              <v:textbox>
                <w:txbxContent>
                  <w:p w:rsidR="00D627BA" w:rsidRDefault="00D627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9725" cy="419100"/>
                          <wp:effectExtent l="19050" t="0" r="9525" b="0"/>
                          <wp:docPr id="1" name="Immagine 1" descr="logoFarmindust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Farmindust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BA" w:rsidRPr="00432AB2" w:rsidRDefault="00A6737A" w:rsidP="00A6737A">
    <w:pPr>
      <w:pStyle w:val="Intestazione"/>
      <w:ind w:left="-426" w:hanging="567"/>
    </w:pPr>
    <w:r>
      <w:rPr>
        <w:noProof/>
      </w:rPr>
      <w:drawing>
        <wp:inline distT="0" distB="0" distL="0" distR="0" wp14:anchorId="5E1871DC" wp14:editId="6AD4FF81">
          <wp:extent cx="1772920" cy="461645"/>
          <wp:effectExtent l="0" t="0" r="0" b="0"/>
          <wp:docPr id="46" name="Immagine 46" descr="logoFarmindust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logoFarmindustr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>
          <wp:extent cx="4110585" cy="428625"/>
          <wp:effectExtent l="0" t="0" r="4445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039" cy="49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 w:tplc="E1F879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3B64D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74CF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843B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50AF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93090E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80E6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E8B1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7895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1D581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61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685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65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A8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181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1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4C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28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EEEB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C9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2C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EC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88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8B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0E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C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A4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6B76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45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04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0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F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66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0B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EB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4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DFF6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2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E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F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9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8A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A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27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02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6AE7"/>
    <w:rsid w:val="00011C16"/>
    <w:rsid w:val="000257F8"/>
    <w:rsid w:val="0006024C"/>
    <w:rsid w:val="0007012E"/>
    <w:rsid w:val="000A4BB9"/>
    <w:rsid w:val="000C077A"/>
    <w:rsid w:val="000C6DC7"/>
    <w:rsid w:val="001A489A"/>
    <w:rsid w:val="002028FD"/>
    <w:rsid w:val="00240602"/>
    <w:rsid w:val="00246BAA"/>
    <w:rsid w:val="00251101"/>
    <w:rsid w:val="002B1C53"/>
    <w:rsid w:val="002E551D"/>
    <w:rsid w:val="00302061"/>
    <w:rsid w:val="00306FC5"/>
    <w:rsid w:val="00394796"/>
    <w:rsid w:val="003C793E"/>
    <w:rsid w:val="003F4D7A"/>
    <w:rsid w:val="004327F5"/>
    <w:rsid w:val="00432AB2"/>
    <w:rsid w:val="004358E1"/>
    <w:rsid w:val="004B6766"/>
    <w:rsid w:val="00551F79"/>
    <w:rsid w:val="005861A6"/>
    <w:rsid w:val="005F020C"/>
    <w:rsid w:val="005F4A47"/>
    <w:rsid w:val="00602D35"/>
    <w:rsid w:val="00664A05"/>
    <w:rsid w:val="00670FF4"/>
    <w:rsid w:val="00685A6C"/>
    <w:rsid w:val="006E26FD"/>
    <w:rsid w:val="00767CB6"/>
    <w:rsid w:val="007B0CB6"/>
    <w:rsid w:val="008759A2"/>
    <w:rsid w:val="008F279C"/>
    <w:rsid w:val="00901E11"/>
    <w:rsid w:val="00903728"/>
    <w:rsid w:val="009605BE"/>
    <w:rsid w:val="00A6737A"/>
    <w:rsid w:val="00A75415"/>
    <w:rsid w:val="00AC65E9"/>
    <w:rsid w:val="00AD05A6"/>
    <w:rsid w:val="00BD52F7"/>
    <w:rsid w:val="00C20613"/>
    <w:rsid w:val="00CB3CEA"/>
    <w:rsid w:val="00CF17D7"/>
    <w:rsid w:val="00CF28D6"/>
    <w:rsid w:val="00D33F80"/>
    <w:rsid w:val="00D52FFF"/>
    <w:rsid w:val="00D627BA"/>
    <w:rsid w:val="00DC7EC2"/>
    <w:rsid w:val="00DE3C46"/>
    <w:rsid w:val="00E4050D"/>
    <w:rsid w:val="00E768EB"/>
    <w:rsid w:val="00E93288"/>
    <w:rsid w:val="00E968C8"/>
    <w:rsid w:val="00F27A24"/>
    <w:rsid w:val="00F84550"/>
    <w:rsid w:val="00F85008"/>
    <w:rsid w:val="00F87F54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D04FC-B9B6-474C-AE6A-59BE6C17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styleId="Collegamentoipertestuale">
    <w:name w:val="Hyperlink"/>
    <w:basedOn w:val="Carpredefinitoparagrafo"/>
    <w:rsid w:val="003F4D7A"/>
    <w:rPr>
      <w:color w:val="0000FF"/>
      <w:u w:val="single"/>
    </w:rPr>
  </w:style>
  <w:style w:type="character" w:styleId="Collegamentovisitato">
    <w:name w:val="FollowedHyperlink"/>
    <w:basedOn w:val="Carpredefinitoparagrafo"/>
    <w:rsid w:val="003F4D7A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2028FD"/>
    <w:rPr>
      <w:b/>
      <w:bCs/>
    </w:rPr>
  </w:style>
  <w:style w:type="character" w:styleId="Enfasicorsivo">
    <w:name w:val="Emphasis"/>
    <w:basedOn w:val="Carpredefinitoparagrafo"/>
    <w:uiPriority w:val="20"/>
    <w:qFormat/>
    <w:rsid w:val="00202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Graffiti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Morelli Antonio</cp:lastModifiedBy>
  <cp:revision>9</cp:revision>
  <cp:lastPrinted>2015-03-04T16:11:00Z</cp:lastPrinted>
  <dcterms:created xsi:type="dcterms:W3CDTF">2019-02-07T11:41:00Z</dcterms:created>
  <dcterms:modified xsi:type="dcterms:W3CDTF">2019-02-08T11:05:00Z</dcterms:modified>
</cp:coreProperties>
</file>